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CE" w:rsidRDefault="00DE5FCE" w:rsidP="00DE5FCE">
      <w:pPr>
        <w:spacing w:line="240" w:lineRule="auto"/>
        <w:jc w:val="both"/>
        <w:rPr>
          <w:rFonts w:ascii="Arial" w:hAnsi="Arial" w:cs="Arial"/>
          <w:b/>
          <w:bCs/>
          <w:color w:val="000000" w:themeColor="text1"/>
        </w:rPr>
      </w:pPr>
      <w:r>
        <w:rPr>
          <w:rFonts w:ascii="Arial" w:hAnsi="Arial" w:cs="Arial"/>
          <w:b/>
          <w:bCs/>
          <w:color w:val="000000" w:themeColor="text1"/>
        </w:rPr>
        <w:t xml:space="preserve">Título: “Una vez aceptemos nuestros límites, podremos ir más allá de ellos”: Más allá de la relación DAAT- enfisema. </w:t>
      </w:r>
    </w:p>
    <w:p w:rsidR="00DE5FCE" w:rsidRDefault="00DE5FCE" w:rsidP="00DE5FCE">
      <w:pPr>
        <w:spacing w:line="240" w:lineRule="auto"/>
        <w:jc w:val="both"/>
        <w:rPr>
          <w:rFonts w:ascii="Arial" w:hAnsi="Arial" w:cs="Arial"/>
          <w:bCs/>
          <w:color w:val="000000" w:themeColor="text1"/>
        </w:rPr>
      </w:pPr>
      <w:r>
        <w:rPr>
          <w:rFonts w:ascii="Arial" w:hAnsi="Arial" w:cs="Arial"/>
          <w:b/>
          <w:bCs/>
          <w:color w:val="000000" w:themeColor="text1"/>
        </w:rPr>
        <w:t xml:space="preserve">Autores: </w:t>
      </w:r>
      <w:r>
        <w:rPr>
          <w:rFonts w:ascii="Arial" w:hAnsi="Arial" w:cs="Arial"/>
          <w:bCs/>
          <w:color w:val="000000" w:themeColor="text1"/>
        </w:rPr>
        <w:t>Juan Luis García-Rivero</w:t>
      </w:r>
      <w:r>
        <w:rPr>
          <w:rFonts w:ascii="Arial" w:hAnsi="Arial" w:cs="Arial"/>
          <w:bCs/>
          <w:color w:val="000000" w:themeColor="text1"/>
          <w:vertAlign w:val="superscript"/>
        </w:rPr>
        <w:t>1</w:t>
      </w:r>
      <w:proofErr w:type="gramStart"/>
      <w:r>
        <w:rPr>
          <w:rFonts w:ascii="Arial" w:hAnsi="Arial" w:cs="Arial"/>
          <w:bCs/>
          <w:color w:val="000000" w:themeColor="text1"/>
          <w:vertAlign w:val="superscript"/>
        </w:rPr>
        <w:t>,2</w:t>
      </w:r>
      <w:proofErr w:type="gramEnd"/>
      <w:r>
        <w:rPr>
          <w:rFonts w:ascii="Arial" w:hAnsi="Arial" w:cs="Arial"/>
          <w:bCs/>
          <w:color w:val="000000" w:themeColor="text1"/>
        </w:rPr>
        <w:t>, María Luis Rodríguez Fidalgo</w:t>
      </w:r>
      <w:r>
        <w:rPr>
          <w:rFonts w:ascii="Arial" w:hAnsi="Arial" w:cs="Arial"/>
          <w:bCs/>
          <w:color w:val="000000" w:themeColor="text1"/>
          <w:vertAlign w:val="superscript"/>
        </w:rPr>
        <w:t>1,2</w:t>
      </w:r>
      <w:r>
        <w:rPr>
          <w:rFonts w:ascii="Arial" w:hAnsi="Arial" w:cs="Arial"/>
          <w:bCs/>
          <w:color w:val="000000" w:themeColor="text1"/>
        </w:rPr>
        <w:t>, Myriam Sánchez de la Yncera</w:t>
      </w:r>
      <w:r>
        <w:rPr>
          <w:rFonts w:ascii="Arial" w:hAnsi="Arial" w:cs="Arial"/>
          <w:bCs/>
          <w:color w:val="000000" w:themeColor="text1"/>
          <w:vertAlign w:val="superscript"/>
        </w:rPr>
        <w:t>1,2</w:t>
      </w:r>
      <w:r>
        <w:rPr>
          <w:rFonts w:ascii="Arial" w:hAnsi="Arial" w:cs="Arial"/>
          <w:bCs/>
          <w:color w:val="000000" w:themeColor="text1"/>
        </w:rPr>
        <w:t>, Carmen Gómez Vildosola</w:t>
      </w:r>
      <w:r>
        <w:rPr>
          <w:rFonts w:ascii="Arial" w:hAnsi="Arial" w:cs="Arial"/>
          <w:bCs/>
          <w:color w:val="000000" w:themeColor="text1"/>
          <w:vertAlign w:val="superscript"/>
        </w:rPr>
        <w:t>1</w:t>
      </w:r>
      <w:r>
        <w:rPr>
          <w:rFonts w:ascii="Arial" w:hAnsi="Arial" w:cs="Arial"/>
          <w:bCs/>
          <w:color w:val="000000" w:themeColor="text1"/>
        </w:rPr>
        <w:t>, Adela Delgado Tapia</w:t>
      </w:r>
      <w:r>
        <w:rPr>
          <w:rFonts w:ascii="Arial" w:hAnsi="Arial" w:cs="Arial"/>
          <w:bCs/>
          <w:color w:val="000000" w:themeColor="text1"/>
          <w:vertAlign w:val="superscript"/>
        </w:rPr>
        <w:t>1</w:t>
      </w:r>
      <w:r>
        <w:rPr>
          <w:rFonts w:ascii="Arial" w:hAnsi="Arial" w:cs="Arial"/>
          <w:bCs/>
          <w:color w:val="000000" w:themeColor="text1"/>
        </w:rPr>
        <w:t xml:space="preserve"> y María Paz-Zulueta</w:t>
      </w:r>
      <w:r>
        <w:rPr>
          <w:rFonts w:ascii="Arial" w:hAnsi="Arial" w:cs="Arial"/>
          <w:bCs/>
          <w:color w:val="000000" w:themeColor="text1"/>
          <w:vertAlign w:val="superscript"/>
        </w:rPr>
        <w:t>2,3</w:t>
      </w:r>
    </w:p>
    <w:p w:rsidR="00DE5FCE" w:rsidRDefault="00DE5FCE" w:rsidP="00DE5FCE">
      <w:pPr>
        <w:spacing w:line="240" w:lineRule="auto"/>
        <w:jc w:val="both"/>
        <w:rPr>
          <w:rFonts w:ascii="Arial" w:hAnsi="Arial" w:cs="Arial"/>
          <w:bCs/>
          <w:i/>
          <w:color w:val="000000" w:themeColor="text1"/>
        </w:rPr>
      </w:pPr>
      <w:r>
        <w:rPr>
          <w:rFonts w:ascii="Arial" w:hAnsi="Arial" w:cs="Arial"/>
          <w:b/>
          <w:bCs/>
          <w:color w:val="000000" w:themeColor="text1"/>
        </w:rPr>
        <w:t xml:space="preserve">Centro de trabajo: </w:t>
      </w:r>
      <w:r>
        <w:rPr>
          <w:rFonts w:ascii="Arial" w:hAnsi="Arial" w:cs="Arial"/>
          <w:bCs/>
          <w:i/>
          <w:color w:val="000000" w:themeColor="text1"/>
        </w:rPr>
        <w:t>Servicio de Neumología Hospital de Laredo. Cantabria</w:t>
      </w:r>
      <w:r>
        <w:rPr>
          <w:rFonts w:ascii="Arial" w:hAnsi="Arial" w:cs="Arial"/>
          <w:bCs/>
          <w:i/>
          <w:color w:val="000000" w:themeColor="text1"/>
          <w:vertAlign w:val="superscript"/>
        </w:rPr>
        <w:t xml:space="preserve"> 1</w:t>
      </w:r>
      <w:r>
        <w:rPr>
          <w:rFonts w:ascii="Arial" w:hAnsi="Arial" w:cs="Arial"/>
          <w:bCs/>
          <w:i/>
          <w:color w:val="000000" w:themeColor="text1"/>
        </w:rPr>
        <w:t>. Asociación cántabra de investigación en aparato respiratorio (ACINAR)</w:t>
      </w:r>
      <w:r>
        <w:rPr>
          <w:rFonts w:ascii="Arial" w:hAnsi="Arial" w:cs="Arial"/>
          <w:bCs/>
          <w:i/>
          <w:color w:val="000000" w:themeColor="text1"/>
          <w:vertAlign w:val="superscript"/>
        </w:rPr>
        <w:t>2</w:t>
      </w:r>
      <w:r>
        <w:rPr>
          <w:rFonts w:ascii="Arial" w:hAnsi="Arial" w:cs="Arial"/>
          <w:bCs/>
          <w:i/>
          <w:color w:val="000000" w:themeColor="text1"/>
        </w:rPr>
        <w:t>. Universidad de Cantabria; GRIDES; IDIVAL</w:t>
      </w:r>
      <w:r>
        <w:rPr>
          <w:rFonts w:ascii="Arial" w:hAnsi="Arial" w:cs="Arial"/>
          <w:bCs/>
          <w:i/>
          <w:color w:val="000000" w:themeColor="text1"/>
          <w:vertAlign w:val="superscript"/>
        </w:rPr>
        <w:t>3</w:t>
      </w:r>
      <w:r>
        <w:rPr>
          <w:rFonts w:ascii="Arial" w:hAnsi="Arial" w:cs="Arial"/>
          <w:bCs/>
          <w:i/>
          <w:color w:val="000000" w:themeColor="text1"/>
        </w:rPr>
        <w:t xml:space="preserve">. </w:t>
      </w:r>
    </w:p>
    <w:p w:rsidR="00DE5FCE" w:rsidRDefault="00DE5FCE" w:rsidP="00DE5FCE">
      <w:pPr>
        <w:spacing w:line="240" w:lineRule="auto"/>
        <w:jc w:val="both"/>
        <w:rPr>
          <w:rFonts w:ascii="Arial" w:hAnsi="Arial" w:cs="Arial"/>
          <w:color w:val="000000" w:themeColor="text1"/>
        </w:rPr>
      </w:pPr>
      <w:r>
        <w:rPr>
          <w:rFonts w:ascii="Arial" w:hAnsi="Arial" w:cs="Arial"/>
          <w:b/>
          <w:bCs/>
          <w:color w:val="000000" w:themeColor="text1"/>
        </w:rPr>
        <w:t xml:space="preserve">Palabras clave: </w:t>
      </w:r>
      <w:r>
        <w:rPr>
          <w:rFonts w:ascii="Arial" w:hAnsi="Arial" w:cs="Arial"/>
          <w:color w:val="000000" w:themeColor="text1"/>
        </w:rPr>
        <w:t xml:space="preserve">Déficit, alfa-1 </w:t>
      </w:r>
      <w:proofErr w:type="spellStart"/>
      <w:r>
        <w:rPr>
          <w:rFonts w:ascii="Arial" w:hAnsi="Arial" w:cs="Arial"/>
          <w:color w:val="000000" w:themeColor="text1"/>
        </w:rPr>
        <w:t>antitripsina</w:t>
      </w:r>
      <w:proofErr w:type="spellEnd"/>
      <w:r>
        <w:rPr>
          <w:rFonts w:ascii="Arial" w:hAnsi="Arial" w:cs="Arial"/>
          <w:color w:val="000000" w:themeColor="text1"/>
        </w:rPr>
        <w:t>, cardiopatía.</w:t>
      </w:r>
    </w:p>
    <w:p w:rsidR="00DE5FCE" w:rsidRDefault="00DE5FCE" w:rsidP="00DE5FCE">
      <w:pPr>
        <w:numPr>
          <w:ilvl w:val="0"/>
          <w:numId w:val="1"/>
        </w:numPr>
        <w:spacing w:line="240" w:lineRule="auto"/>
        <w:jc w:val="both"/>
        <w:rPr>
          <w:rFonts w:ascii="Arial" w:hAnsi="Arial" w:cs="Arial"/>
          <w:b/>
          <w:bCs/>
          <w:color w:val="000000" w:themeColor="text1"/>
        </w:rPr>
      </w:pPr>
      <w:r>
        <w:rPr>
          <w:rFonts w:ascii="Arial" w:hAnsi="Arial" w:cs="Arial"/>
          <w:b/>
          <w:bCs/>
          <w:color w:val="000000" w:themeColor="text1"/>
        </w:rPr>
        <w:t xml:space="preserve">Introducción </w:t>
      </w:r>
      <w:r>
        <w:rPr>
          <w:rFonts w:ascii="Arial" w:hAnsi="Arial" w:cs="Arial"/>
          <w:b/>
          <w:bCs/>
          <w:color w:val="000000" w:themeColor="text1"/>
        </w:rPr>
        <w:tab/>
        <w:t xml:space="preserve">: </w:t>
      </w:r>
      <w:r>
        <w:rPr>
          <w:rFonts w:ascii="Arial" w:hAnsi="Arial" w:cs="Arial"/>
          <w:color w:val="000000" w:themeColor="text1"/>
        </w:rPr>
        <w:t xml:space="preserve">El déficit de </w:t>
      </w:r>
      <w:r>
        <w:rPr>
          <w:rFonts w:ascii="Arial" w:hAnsi="Arial" w:cs="Arial"/>
          <w:color w:val="000000" w:themeColor="text1"/>
          <w:shd w:val="clear" w:color="auto" w:fill="FFFFFF"/>
        </w:rPr>
        <w:t xml:space="preserve">alfa-1 </w:t>
      </w:r>
      <w:proofErr w:type="spellStart"/>
      <w:r>
        <w:rPr>
          <w:rFonts w:ascii="Arial" w:hAnsi="Arial" w:cs="Arial"/>
          <w:color w:val="000000" w:themeColor="text1"/>
          <w:shd w:val="clear" w:color="auto" w:fill="FFFFFF"/>
        </w:rPr>
        <w:t>antitripsina</w:t>
      </w:r>
      <w:proofErr w:type="spellEnd"/>
      <w:r>
        <w:rPr>
          <w:rFonts w:ascii="Arial" w:hAnsi="Arial" w:cs="Arial"/>
          <w:color w:val="000000" w:themeColor="text1"/>
          <w:shd w:val="clear" w:color="auto" w:fill="FFFFFF"/>
        </w:rPr>
        <w:t xml:space="preserve"> (DAAT) es un trastorno hereditario bien establecido que conlleva una disminución o ausencia de esta proteína en sangre y tejidos pudiendo provocar enfisema y enfermedad hepática. Es causada por mutaciones en el gen SERPINA1 que codifica la síntesis de alfa-1 </w:t>
      </w:r>
      <w:proofErr w:type="spellStart"/>
      <w:r>
        <w:rPr>
          <w:rFonts w:ascii="Arial" w:hAnsi="Arial" w:cs="Arial"/>
          <w:color w:val="000000" w:themeColor="text1"/>
          <w:shd w:val="clear" w:color="auto" w:fill="FFFFFF"/>
        </w:rPr>
        <w:t>antitripsina</w:t>
      </w:r>
      <w:proofErr w:type="spellEnd"/>
      <w:r>
        <w:rPr>
          <w:rFonts w:ascii="Arial" w:hAnsi="Arial" w:cs="Arial"/>
          <w:color w:val="000000" w:themeColor="text1"/>
          <w:shd w:val="clear" w:color="auto" w:fill="FFFFFF"/>
        </w:rPr>
        <w:t xml:space="preserve"> (AAT), un inhibidor clave de las proteasas. </w:t>
      </w:r>
    </w:p>
    <w:p w:rsidR="00DE5FCE" w:rsidRDefault="00DE5FCE" w:rsidP="00DE5FCE">
      <w:pPr>
        <w:spacing w:line="240" w:lineRule="auto"/>
        <w:ind w:left="720"/>
        <w:jc w:val="both"/>
        <w:rPr>
          <w:rFonts w:ascii="Arial" w:hAnsi="Arial" w:cs="Arial"/>
          <w:color w:val="000000" w:themeColor="text1"/>
        </w:rPr>
      </w:pPr>
      <w:r>
        <w:rPr>
          <w:rFonts w:ascii="Arial" w:hAnsi="Arial" w:cs="Arial"/>
          <w:bCs/>
          <w:color w:val="000000" w:themeColor="text1"/>
        </w:rPr>
        <w:t>Existe un elevado infra-diagnóstico.</w:t>
      </w:r>
      <w:r>
        <w:rPr>
          <w:rFonts w:ascii="Arial" w:hAnsi="Arial" w:cs="Arial"/>
          <w:b/>
          <w:bCs/>
          <w:color w:val="000000" w:themeColor="text1"/>
        </w:rPr>
        <w:t xml:space="preserve"> </w:t>
      </w:r>
      <w:r>
        <w:rPr>
          <w:rFonts w:ascii="Arial" w:hAnsi="Arial" w:cs="Arial"/>
          <w:color w:val="000000" w:themeColor="text1"/>
        </w:rPr>
        <w:t>Múltiples factores contribuyen al mismo, entre ellos: 1) las similitudes en la forma de presentación con la EPOC sin DAAT y el asma, que se prestan a confusión y conllevan a un diagnóstico erróneo; 2) la determinación de niveles de AAT sérica sólo en casos clínicos concretos (jóvenes, con enfisema basal y no fumadores); 3) la falta de acceso a la determinación de niveles de AAT en sangre, al desconocimiento y escaso seguimiento de las guías de práctica clínica; 4) la falta de concienciación sobre la enfermedad.</w:t>
      </w:r>
    </w:p>
    <w:p w:rsidR="00DE5FCE" w:rsidRDefault="00DE5FCE" w:rsidP="00DE5FCE">
      <w:pPr>
        <w:pStyle w:val="Prrafodelista"/>
        <w:numPr>
          <w:ilvl w:val="0"/>
          <w:numId w:val="1"/>
        </w:numPr>
        <w:spacing w:line="240" w:lineRule="auto"/>
        <w:jc w:val="both"/>
        <w:rPr>
          <w:rFonts w:ascii="Arial" w:hAnsi="Arial" w:cs="Arial"/>
          <w:b/>
          <w:bCs/>
          <w:color w:val="000000" w:themeColor="text1"/>
        </w:rPr>
      </w:pPr>
      <w:r>
        <w:rPr>
          <w:rFonts w:ascii="Arial" w:hAnsi="Arial" w:cs="Arial"/>
          <w:b/>
          <w:bCs/>
          <w:color w:val="000000" w:themeColor="text1"/>
        </w:rPr>
        <w:t>Información del paciente</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rPr>
        <w:t xml:space="preserve">Varón de 79 años, caucásico, ganadero jubilado. AF: Padre con broncopatía crónica e infecciones de vías bajas de repetición (al menos 8 neumonías). 8 hermanos, casi todos con broncopatía crónica. </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rPr>
        <w:t xml:space="preserve">No fumador. Exposición a biomasa: </w:t>
      </w:r>
      <w:r>
        <w:rPr>
          <w:rFonts w:ascii="Arial" w:hAnsi="Arial" w:cs="Arial"/>
          <w:b/>
          <w:bCs/>
          <w:color w:val="000000" w:themeColor="text1"/>
        </w:rPr>
        <w:t xml:space="preserve">Cocina de leña </w:t>
      </w:r>
      <w:r>
        <w:rPr>
          <w:rFonts w:ascii="Arial" w:hAnsi="Arial" w:cs="Arial"/>
          <w:bCs/>
          <w:color w:val="000000" w:themeColor="text1"/>
        </w:rPr>
        <w:t>durante más de 30 años</w:t>
      </w:r>
      <w:r>
        <w:rPr>
          <w:rFonts w:ascii="Arial" w:hAnsi="Arial" w:cs="Arial"/>
          <w:color w:val="000000" w:themeColor="text1"/>
        </w:rPr>
        <w:t xml:space="preserve">. </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lang w:val="en-US"/>
        </w:rPr>
        <w:t xml:space="preserve">1998: </w:t>
      </w:r>
      <w:proofErr w:type="spellStart"/>
      <w:r>
        <w:rPr>
          <w:rFonts w:ascii="Arial" w:hAnsi="Arial" w:cs="Arial"/>
          <w:bCs/>
          <w:color w:val="000000" w:themeColor="text1"/>
          <w:lang w:val="en-US"/>
        </w:rPr>
        <w:t>Disnea</w:t>
      </w:r>
      <w:proofErr w:type="spellEnd"/>
      <w:r>
        <w:rPr>
          <w:rFonts w:ascii="Arial" w:hAnsi="Arial" w:cs="Arial"/>
          <w:bCs/>
          <w:color w:val="000000" w:themeColor="text1"/>
          <w:lang w:val="en-US"/>
        </w:rPr>
        <w:t xml:space="preserve"> con </w:t>
      </w:r>
      <w:proofErr w:type="spellStart"/>
      <w:r>
        <w:rPr>
          <w:rFonts w:ascii="Arial" w:hAnsi="Arial" w:cs="Arial"/>
          <w:bCs/>
          <w:color w:val="000000" w:themeColor="text1"/>
          <w:lang w:val="en-US"/>
        </w:rPr>
        <w:t>mMRC</w:t>
      </w:r>
      <w:proofErr w:type="spellEnd"/>
      <w:r>
        <w:rPr>
          <w:rFonts w:ascii="Arial" w:hAnsi="Arial" w:cs="Arial"/>
          <w:bCs/>
          <w:color w:val="000000" w:themeColor="text1"/>
          <w:lang w:val="en-US"/>
        </w:rPr>
        <w:t xml:space="preserve"> (medical Research Council) </w:t>
      </w:r>
      <w:proofErr w:type="spellStart"/>
      <w:r>
        <w:rPr>
          <w:rFonts w:ascii="Arial" w:hAnsi="Arial" w:cs="Arial"/>
          <w:bCs/>
          <w:color w:val="000000" w:themeColor="text1"/>
          <w:lang w:val="en-US"/>
        </w:rPr>
        <w:t>grado</w:t>
      </w:r>
      <w:proofErr w:type="spellEnd"/>
      <w:r>
        <w:rPr>
          <w:rFonts w:ascii="Arial" w:hAnsi="Arial" w:cs="Arial"/>
          <w:b/>
          <w:color w:val="000000" w:themeColor="text1"/>
          <w:lang w:val="en-US"/>
        </w:rPr>
        <w:t xml:space="preserve"> I/IV</w:t>
      </w:r>
      <w:r>
        <w:rPr>
          <w:rFonts w:ascii="Arial" w:hAnsi="Arial" w:cs="Arial"/>
          <w:color w:val="000000" w:themeColor="text1"/>
          <w:lang w:val="en-US"/>
        </w:rPr>
        <w:t xml:space="preserve">. </w:t>
      </w:r>
      <w:r>
        <w:rPr>
          <w:rFonts w:ascii="Arial" w:hAnsi="Arial" w:cs="Arial"/>
          <w:color w:val="000000" w:themeColor="text1"/>
        </w:rPr>
        <w:t xml:space="preserve">Criterios clínicos de bronquitis crónica. </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rPr>
        <w:t>2002: Arritmia cardiaca por fibrilación auricular (</w:t>
      </w:r>
      <w:proofErr w:type="spellStart"/>
      <w:r>
        <w:rPr>
          <w:rFonts w:ascii="Arial" w:hAnsi="Arial" w:cs="Arial"/>
          <w:b/>
          <w:bCs/>
          <w:color w:val="000000" w:themeColor="text1"/>
        </w:rPr>
        <w:t>ACxFA</w:t>
      </w:r>
      <w:proofErr w:type="spellEnd"/>
      <w:r>
        <w:rPr>
          <w:rFonts w:ascii="Arial" w:hAnsi="Arial" w:cs="Arial"/>
          <w:b/>
          <w:bCs/>
          <w:color w:val="000000" w:themeColor="text1"/>
        </w:rPr>
        <w:t xml:space="preserve">) </w:t>
      </w:r>
      <w:r>
        <w:rPr>
          <w:rFonts w:ascii="Arial" w:hAnsi="Arial" w:cs="Arial"/>
          <w:color w:val="000000" w:themeColor="text1"/>
        </w:rPr>
        <w:t>con dilatación biauricular importante. Presenta hipertensión arterial (HTA). Insuficiencia mitral de grado moderado alto. Enfermedad pulmonar obstructiva crónica (</w:t>
      </w:r>
      <w:r>
        <w:rPr>
          <w:rFonts w:ascii="Arial" w:hAnsi="Arial" w:cs="Arial"/>
          <w:b/>
          <w:color w:val="000000" w:themeColor="text1"/>
        </w:rPr>
        <w:t xml:space="preserve">EPOC) </w:t>
      </w:r>
      <w:r>
        <w:rPr>
          <w:rFonts w:ascii="Arial" w:hAnsi="Arial" w:cs="Arial"/>
          <w:color w:val="000000" w:themeColor="text1"/>
        </w:rPr>
        <w:t>leve.</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rPr>
        <w:t xml:space="preserve">2002: </w:t>
      </w:r>
      <w:r>
        <w:rPr>
          <w:rFonts w:ascii="Arial" w:hAnsi="Arial" w:cs="Arial"/>
          <w:b/>
          <w:bCs/>
          <w:color w:val="000000" w:themeColor="text1"/>
        </w:rPr>
        <w:t>Primera exacerbación</w:t>
      </w:r>
      <w:r>
        <w:rPr>
          <w:rFonts w:ascii="Arial" w:hAnsi="Arial" w:cs="Arial"/>
          <w:color w:val="000000" w:themeColor="text1"/>
        </w:rPr>
        <w:t xml:space="preserve"> aguda de EPOC registrada en historia clínica. </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rPr>
        <w:t xml:space="preserve">(2002-2009: Falta de datos en registros de Atención Primaria-Hospitalaria). </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rPr>
        <w:t xml:space="preserve">2009: Inicio anticoagulación oral por </w:t>
      </w:r>
      <w:proofErr w:type="spellStart"/>
      <w:r>
        <w:rPr>
          <w:rFonts w:ascii="Arial" w:hAnsi="Arial" w:cs="Arial"/>
          <w:color w:val="000000" w:themeColor="text1"/>
        </w:rPr>
        <w:t>ACxFA</w:t>
      </w:r>
      <w:proofErr w:type="spellEnd"/>
      <w:r>
        <w:rPr>
          <w:rFonts w:ascii="Arial" w:hAnsi="Arial" w:cs="Arial"/>
          <w:color w:val="000000" w:themeColor="text1"/>
        </w:rPr>
        <w:t>,</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rPr>
        <w:t xml:space="preserve">2010: Inicio de </w:t>
      </w:r>
      <w:r>
        <w:rPr>
          <w:rFonts w:ascii="Arial" w:hAnsi="Arial" w:cs="Arial"/>
          <w:b/>
          <w:bCs/>
          <w:color w:val="000000" w:themeColor="text1"/>
        </w:rPr>
        <w:t>OCD</w:t>
      </w:r>
      <w:r>
        <w:rPr>
          <w:rFonts w:ascii="Arial" w:hAnsi="Arial" w:cs="Arial"/>
          <w:color w:val="000000" w:themeColor="text1"/>
        </w:rPr>
        <w:t xml:space="preserve"> (Residencia de ancianos).</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rPr>
        <w:t>2014: Diabetes Mellitus tipo II (</w:t>
      </w:r>
      <w:r>
        <w:rPr>
          <w:rFonts w:ascii="Arial" w:hAnsi="Arial" w:cs="Arial"/>
          <w:b/>
          <w:bCs/>
          <w:color w:val="000000" w:themeColor="text1"/>
        </w:rPr>
        <w:t>DM2)</w:t>
      </w:r>
      <w:r>
        <w:rPr>
          <w:rFonts w:ascii="Arial" w:hAnsi="Arial" w:cs="Arial"/>
          <w:color w:val="000000" w:themeColor="text1"/>
        </w:rPr>
        <w:t>.</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rPr>
        <w:t xml:space="preserve">2015-2018: 2-3 </w:t>
      </w:r>
      <w:r>
        <w:rPr>
          <w:rFonts w:ascii="Arial" w:hAnsi="Arial" w:cs="Arial"/>
          <w:b/>
          <w:bCs/>
          <w:color w:val="000000" w:themeColor="text1"/>
        </w:rPr>
        <w:t>exacerbaciones agudas moderadas-graves anuales de EPOC</w:t>
      </w:r>
      <w:r>
        <w:rPr>
          <w:rFonts w:ascii="Arial" w:hAnsi="Arial" w:cs="Arial"/>
          <w:color w:val="000000" w:themeColor="text1"/>
        </w:rPr>
        <w:t>.</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color w:val="000000" w:themeColor="text1"/>
        </w:rPr>
        <w:t xml:space="preserve">2019 (Inicio seguimiento en Neumología): </w:t>
      </w:r>
      <w:r>
        <w:rPr>
          <w:rFonts w:ascii="Arial" w:hAnsi="Arial" w:cs="Arial"/>
          <w:bCs/>
          <w:color w:val="000000" w:themeColor="text1"/>
        </w:rPr>
        <w:t xml:space="preserve">Disnea con </w:t>
      </w:r>
      <w:proofErr w:type="spellStart"/>
      <w:r>
        <w:rPr>
          <w:rFonts w:ascii="Arial" w:hAnsi="Arial" w:cs="Arial"/>
          <w:bCs/>
          <w:color w:val="000000" w:themeColor="text1"/>
        </w:rPr>
        <w:t>mMRC</w:t>
      </w:r>
      <w:proofErr w:type="spellEnd"/>
      <w:r>
        <w:rPr>
          <w:rFonts w:ascii="Arial" w:hAnsi="Arial" w:cs="Arial"/>
          <w:bCs/>
          <w:color w:val="000000" w:themeColor="text1"/>
        </w:rPr>
        <w:t xml:space="preserve"> grado</w:t>
      </w:r>
      <w:r>
        <w:rPr>
          <w:rFonts w:ascii="Arial" w:hAnsi="Arial" w:cs="Arial"/>
          <w:b/>
          <w:color w:val="000000" w:themeColor="text1"/>
        </w:rPr>
        <w:t xml:space="preserve"> III/IV</w:t>
      </w:r>
      <w:r>
        <w:rPr>
          <w:rFonts w:ascii="Arial" w:hAnsi="Arial" w:cs="Arial"/>
          <w:color w:val="000000" w:themeColor="text1"/>
        </w:rPr>
        <w:t xml:space="preserve">; Criterios clínicos de BC; Dolores generalizados (artrosis); Vida sedentaria y limitada. </w:t>
      </w:r>
    </w:p>
    <w:p w:rsidR="00DE5FCE" w:rsidRDefault="00DE5FCE" w:rsidP="00DE5FCE">
      <w:pPr>
        <w:pStyle w:val="Prrafodelista"/>
        <w:numPr>
          <w:ilvl w:val="0"/>
          <w:numId w:val="1"/>
        </w:numPr>
        <w:spacing w:line="240" w:lineRule="auto"/>
        <w:jc w:val="both"/>
        <w:rPr>
          <w:rFonts w:ascii="Arial" w:hAnsi="Arial" w:cs="Arial"/>
          <w:color w:val="000000" w:themeColor="text1"/>
        </w:rPr>
      </w:pPr>
      <w:r>
        <w:rPr>
          <w:rFonts w:ascii="Arial" w:hAnsi="Arial" w:cs="Arial"/>
          <w:b/>
          <w:bCs/>
          <w:color w:val="000000" w:themeColor="text1"/>
        </w:rPr>
        <w:lastRenderedPageBreak/>
        <w:t>Hallazgos clínicos:</w:t>
      </w:r>
    </w:p>
    <w:p w:rsidR="00DE5FCE" w:rsidRDefault="00DE5FCE" w:rsidP="00DE5FCE">
      <w:pPr>
        <w:pStyle w:val="Prrafodelista"/>
        <w:spacing w:line="240" w:lineRule="auto"/>
        <w:ind w:right="-428"/>
        <w:rPr>
          <w:rFonts w:ascii="Arial" w:hAnsi="Arial" w:cs="Arial"/>
          <w:color w:val="000000" w:themeColor="text1"/>
          <w:shd w:val="clear" w:color="auto" w:fill="FFFFFF"/>
        </w:rPr>
      </w:pPr>
      <w:r>
        <w:rPr>
          <w:rFonts w:ascii="Arial" w:hAnsi="Arial" w:cs="Arial"/>
          <w:color w:val="000000" w:themeColor="text1"/>
          <w:shd w:val="clear" w:color="auto" w:fill="FFFFFF"/>
        </w:rPr>
        <w:t>FIS conservadas. En silla de ruedas. Auscultación pulmonar (AP): auscultación de crepitantes en bases pulmonares.</w:t>
      </w:r>
      <w:r>
        <w:rPr>
          <w:rFonts w:ascii="Arial" w:hAnsi="Arial" w:cs="Arial"/>
          <w:color w:val="000000" w:themeColor="text1"/>
        </w:rPr>
        <w:t xml:space="preserve"> </w:t>
      </w:r>
      <w:r>
        <w:rPr>
          <w:rFonts w:ascii="Arial" w:hAnsi="Arial" w:cs="Arial"/>
          <w:color w:val="000000" w:themeColor="text1"/>
          <w:shd w:val="clear" w:color="auto" w:fill="FFFFFF"/>
        </w:rPr>
        <w:t xml:space="preserve">Auscultación cardíaca (AC): arrítmica con soplo Aórtico.  Evaluación de extremidades inferiores (EEII): no se observan edemas ni signos de trombosis venosa profunda (TVP). </w:t>
      </w:r>
    </w:p>
    <w:p w:rsidR="00DE5FCE" w:rsidRDefault="00DE5FCE" w:rsidP="00DE5FCE">
      <w:pPr>
        <w:numPr>
          <w:ilvl w:val="0"/>
          <w:numId w:val="1"/>
        </w:numPr>
        <w:spacing w:line="240" w:lineRule="auto"/>
        <w:jc w:val="both"/>
        <w:rPr>
          <w:rFonts w:ascii="Arial" w:hAnsi="Arial" w:cs="Arial"/>
          <w:b/>
          <w:bCs/>
          <w:color w:val="000000" w:themeColor="text1"/>
        </w:rPr>
      </w:pPr>
      <w:r>
        <w:rPr>
          <w:rFonts w:ascii="Arial" w:hAnsi="Arial" w:cs="Arial"/>
          <w:b/>
          <w:bCs/>
          <w:color w:val="000000" w:themeColor="text1"/>
        </w:rPr>
        <w:t>Evaluación diagnóstica</w:t>
      </w:r>
      <w:r>
        <w:rPr>
          <w:rFonts w:ascii="Arial" w:hAnsi="Arial" w:cs="Arial"/>
          <w:b/>
          <w:bCs/>
          <w:color w:val="000000" w:themeColor="text1"/>
        </w:rPr>
        <w:tab/>
      </w:r>
    </w:p>
    <w:p w:rsidR="00DE5FCE" w:rsidRDefault="00DE5FCE" w:rsidP="00DE5FCE">
      <w:pPr>
        <w:pStyle w:val="Prrafodelista"/>
        <w:numPr>
          <w:ilvl w:val="0"/>
          <w:numId w:val="2"/>
        </w:numPr>
        <w:spacing w:line="240" w:lineRule="auto"/>
        <w:jc w:val="both"/>
        <w:rPr>
          <w:rFonts w:ascii="Arial" w:hAnsi="Arial" w:cs="Arial"/>
          <w:b/>
          <w:bCs/>
          <w:color w:val="000000" w:themeColor="text1"/>
        </w:rPr>
      </w:pPr>
      <w:r>
        <w:rPr>
          <w:rFonts w:ascii="Arial" w:hAnsi="Arial" w:cs="Arial"/>
          <w:b/>
          <w:bCs/>
          <w:color w:val="000000" w:themeColor="text1"/>
        </w:rPr>
        <w:t xml:space="preserve">Niveles alfa-1 </w:t>
      </w:r>
      <w:proofErr w:type="spellStart"/>
      <w:r>
        <w:rPr>
          <w:rFonts w:ascii="Arial" w:hAnsi="Arial" w:cs="Arial"/>
          <w:b/>
          <w:bCs/>
          <w:color w:val="000000" w:themeColor="text1"/>
        </w:rPr>
        <w:t>antitripsina</w:t>
      </w:r>
      <w:proofErr w:type="spellEnd"/>
      <w:r>
        <w:rPr>
          <w:rFonts w:ascii="Arial" w:hAnsi="Arial" w:cs="Arial"/>
          <w:b/>
          <w:bCs/>
          <w:color w:val="000000" w:themeColor="text1"/>
        </w:rPr>
        <w:t xml:space="preserve"> </w:t>
      </w:r>
      <w:r>
        <w:rPr>
          <w:rFonts w:ascii="Arial" w:hAnsi="Arial" w:cs="Arial"/>
          <w:bCs/>
          <w:color w:val="000000" w:themeColor="text1"/>
        </w:rPr>
        <w:t>(feb/2019 un mes después de exacerbación):</w:t>
      </w:r>
      <w:r>
        <w:rPr>
          <w:rFonts w:ascii="Arial" w:hAnsi="Arial" w:cs="Arial"/>
          <w:b/>
          <w:bCs/>
          <w:color w:val="000000" w:themeColor="text1"/>
        </w:rPr>
        <w:t xml:space="preserve"> 98 mg/dl</w:t>
      </w:r>
    </w:p>
    <w:p w:rsidR="00DE5FCE" w:rsidRDefault="00DE5FCE" w:rsidP="00DE5FCE">
      <w:pPr>
        <w:pStyle w:val="Prrafodelista"/>
        <w:numPr>
          <w:ilvl w:val="0"/>
          <w:numId w:val="2"/>
        </w:numPr>
        <w:spacing w:line="240" w:lineRule="auto"/>
        <w:jc w:val="both"/>
        <w:rPr>
          <w:rFonts w:ascii="Arial" w:hAnsi="Arial" w:cs="Arial"/>
          <w:color w:val="000000" w:themeColor="text1"/>
          <w:lang w:val="en-GB"/>
        </w:rPr>
      </w:pPr>
      <w:r>
        <w:rPr>
          <w:rFonts w:ascii="Arial" w:hAnsi="Arial" w:cs="Arial"/>
          <w:b/>
          <w:color w:val="000000" w:themeColor="text1"/>
          <w:lang w:val="en-US"/>
        </w:rPr>
        <w:t xml:space="preserve">Alfa-1 </w:t>
      </w:r>
      <w:r>
        <w:rPr>
          <w:rFonts w:ascii="Arial" w:hAnsi="Arial" w:cs="Arial"/>
          <w:b/>
          <w:i/>
          <w:color w:val="000000" w:themeColor="text1"/>
          <w:lang w:val="en-US"/>
        </w:rPr>
        <w:t>genotyping test</w:t>
      </w:r>
      <w:r>
        <w:rPr>
          <w:rFonts w:ascii="Arial" w:hAnsi="Arial" w:cs="Arial"/>
          <w:b/>
          <w:color w:val="000000" w:themeColor="text1"/>
          <w:lang w:val="en-US"/>
        </w:rPr>
        <w:t xml:space="preserve"> ®</w:t>
      </w:r>
      <w:r>
        <w:rPr>
          <w:rFonts w:ascii="Arial" w:hAnsi="Arial" w:cs="Arial"/>
          <w:color w:val="000000" w:themeColor="text1"/>
          <w:lang w:val="en-US"/>
        </w:rPr>
        <w:t xml:space="preserve"> (</w:t>
      </w:r>
      <w:proofErr w:type="spellStart"/>
      <w:r>
        <w:rPr>
          <w:rFonts w:ascii="Arial" w:hAnsi="Arial" w:cs="Arial"/>
          <w:color w:val="000000" w:themeColor="text1"/>
          <w:lang w:val="en-US"/>
        </w:rPr>
        <w:t>Progenika</w:t>
      </w:r>
      <w:proofErr w:type="spellEnd"/>
      <w:r>
        <w:rPr>
          <w:rFonts w:ascii="Arial" w:hAnsi="Arial" w:cs="Arial"/>
          <w:color w:val="000000" w:themeColor="text1"/>
          <w:lang w:val="en-US"/>
        </w:rPr>
        <w:t xml:space="preserve"> Biopharma, S.A.-</w:t>
      </w:r>
      <w:proofErr w:type="spellStart"/>
      <w:r>
        <w:rPr>
          <w:rFonts w:ascii="Arial" w:hAnsi="Arial" w:cs="Arial"/>
          <w:color w:val="000000" w:themeColor="text1"/>
          <w:lang w:val="en-US"/>
        </w:rPr>
        <w:t>Grifols</w:t>
      </w:r>
      <w:proofErr w:type="spellEnd"/>
      <w:r>
        <w:rPr>
          <w:rFonts w:ascii="Arial" w:hAnsi="Arial" w:cs="Arial"/>
          <w:color w:val="000000" w:themeColor="text1"/>
          <w:lang w:val="en-GB"/>
        </w:rPr>
        <w:t xml:space="preserve"> (</w:t>
      </w:r>
      <w:proofErr w:type="spellStart"/>
      <w:r>
        <w:rPr>
          <w:rFonts w:ascii="Arial" w:hAnsi="Arial" w:cs="Arial"/>
          <w:color w:val="000000" w:themeColor="text1"/>
          <w:lang w:val="en-GB"/>
        </w:rPr>
        <w:t>marzo</w:t>
      </w:r>
      <w:proofErr w:type="spellEnd"/>
      <w:r>
        <w:rPr>
          <w:rFonts w:ascii="Arial" w:hAnsi="Arial" w:cs="Arial"/>
          <w:color w:val="000000" w:themeColor="text1"/>
          <w:lang w:val="en-GB"/>
        </w:rPr>
        <w:t xml:space="preserve"> 2019): </w:t>
      </w:r>
      <w:r>
        <w:rPr>
          <w:rFonts w:ascii="Arial" w:hAnsi="Arial" w:cs="Arial"/>
          <w:b/>
          <w:bCs/>
          <w:color w:val="000000" w:themeColor="text1"/>
          <w:lang w:val="en-GB"/>
        </w:rPr>
        <w:t>SZ</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b/>
          <w:bCs/>
          <w:color w:val="000000" w:themeColor="text1"/>
        </w:rPr>
        <w:t xml:space="preserve">Nuevos niveles de alfa-1 </w:t>
      </w:r>
      <w:r>
        <w:rPr>
          <w:rFonts w:ascii="Arial" w:hAnsi="Arial" w:cs="Arial"/>
          <w:bCs/>
          <w:color w:val="000000" w:themeColor="text1"/>
        </w:rPr>
        <w:t xml:space="preserve">(marzo 2019): </w:t>
      </w:r>
      <w:r>
        <w:rPr>
          <w:rFonts w:ascii="Arial" w:hAnsi="Arial" w:cs="Arial"/>
          <w:b/>
          <w:bCs/>
          <w:color w:val="000000" w:themeColor="text1"/>
        </w:rPr>
        <w:t>57 mg/dl</w:t>
      </w:r>
      <w:r>
        <w:rPr>
          <w:rFonts w:ascii="Arial" w:hAnsi="Arial" w:cs="Arial"/>
          <w:color w:val="000000" w:themeColor="text1"/>
        </w:rPr>
        <w:t>; PCR&lt;0,4 mg/dl</w:t>
      </w:r>
    </w:p>
    <w:p w:rsidR="00DE5FCE" w:rsidRDefault="00DE5FCE" w:rsidP="00DE5FCE">
      <w:pPr>
        <w:pStyle w:val="Prrafodelista"/>
        <w:numPr>
          <w:ilvl w:val="0"/>
          <w:numId w:val="2"/>
        </w:numPr>
        <w:spacing w:line="240" w:lineRule="auto"/>
        <w:jc w:val="both"/>
        <w:rPr>
          <w:rFonts w:ascii="Arial" w:hAnsi="Arial" w:cs="Arial"/>
          <w:color w:val="000000" w:themeColor="text1"/>
        </w:rPr>
      </w:pPr>
      <w:proofErr w:type="spellStart"/>
      <w:r>
        <w:rPr>
          <w:rFonts w:ascii="Arial" w:hAnsi="Arial" w:cs="Arial"/>
          <w:b/>
          <w:bCs/>
          <w:color w:val="000000" w:themeColor="text1"/>
        </w:rPr>
        <w:t>IgG</w:t>
      </w:r>
      <w:proofErr w:type="spellEnd"/>
      <w:r>
        <w:rPr>
          <w:rFonts w:ascii="Arial" w:hAnsi="Arial" w:cs="Arial"/>
          <w:b/>
          <w:bCs/>
          <w:color w:val="000000" w:themeColor="text1"/>
        </w:rPr>
        <w:t xml:space="preserve">, </w:t>
      </w:r>
      <w:proofErr w:type="spellStart"/>
      <w:r>
        <w:rPr>
          <w:rFonts w:ascii="Arial" w:hAnsi="Arial" w:cs="Arial"/>
          <w:b/>
          <w:bCs/>
          <w:color w:val="000000" w:themeColor="text1"/>
        </w:rPr>
        <w:t>IgA</w:t>
      </w:r>
      <w:proofErr w:type="spellEnd"/>
      <w:r>
        <w:rPr>
          <w:rFonts w:ascii="Arial" w:hAnsi="Arial" w:cs="Arial"/>
          <w:b/>
          <w:bCs/>
          <w:color w:val="000000" w:themeColor="text1"/>
        </w:rPr>
        <w:t xml:space="preserve">, </w:t>
      </w:r>
      <w:proofErr w:type="spellStart"/>
      <w:r>
        <w:rPr>
          <w:rFonts w:ascii="Arial" w:hAnsi="Arial" w:cs="Arial"/>
          <w:b/>
          <w:bCs/>
          <w:color w:val="000000" w:themeColor="text1"/>
        </w:rPr>
        <w:t>IgM</w:t>
      </w:r>
      <w:proofErr w:type="spellEnd"/>
      <w:r>
        <w:rPr>
          <w:rFonts w:ascii="Arial" w:hAnsi="Arial" w:cs="Arial"/>
          <w:b/>
          <w:bCs/>
          <w:color w:val="000000" w:themeColor="text1"/>
        </w:rPr>
        <w:t xml:space="preserve"> e </w:t>
      </w:r>
      <w:proofErr w:type="spellStart"/>
      <w:r>
        <w:rPr>
          <w:rFonts w:ascii="Arial" w:hAnsi="Arial" w:cs="Arial"/>
          <w:b/>
          <w:bCs/>
          <w:color w:val="000000" w:themeColor="text1"/>
        </w:rPr>
        <w:t>IgE</w:t>
      </w:r>
      <w:proofErr w:type="spellEnd"/>
      <w:r>
        <w:rPr>
          <w:rFonts w:ascii="Arial" w:hAnsi="Arial" w:cs="Arial"/>
          <w:color w:val="000000" w:themeColor="text1"/>
        </w:rPr>
        <w:t xml:space="preserve">: dentro de parámetros normales. </w:t>
      </w:r>
      <w:r>
        <w:rPr>
          <w:rFonts w:ascii="Arial" w:hAnsi="Arial" w:cs="Arial"/>
          <w:b/>
          <w:color w:val="000000" w:themeColor="text1"/>
        </w:rPr>
        <w:t xml:space="preserve">Hemograma y </w:t>
      </w:r>
      <w:proofErr w:type="spellStart"/>
      <w:r>
        <w:rPr>
          <w:rFonts w:ascii="Arial" w:hAnsi="Arial" w:cs="Arial"/>
          <w:b/>
          <w:color w:val="000000" w:themeColor="text1"/>
        </w:rPr>
        <w:t>Bioquómica</w:t>
      </w:r>
      <w:proofErr w:type="spellEnd"/>
      <w:r>
        <w:rPr>
          <w:rFonts w:ascii="Arial" w:hAnsi="Arial" w:cs="Arial"/>
          <w:color w:val="000000" w:themeColor="text1"/>
        </w:rPr>
        <w:t xml:space="preserve">: sin alteraciones; </w:t>
      </w:r>
      <w:r>
        <w:rPr>
          <w:rFonts w:ascii="Arial" w:hAnsi="Arial" w:cs="Arial"/>
          <w:b/>
          <w:color w:val="000000" w:themeColor="text1"/>
        </w:rPr>
        <w:t>Cultivo esputo</w:t>
      </w:r>
      <w:r>
        <w:rPr>
          <w:rFonts w:ascii="Arial" w:hAnsi="Arial" w:cs="Arial"/>
          <w:color w:val="000000" w:themeColor="text1"/>
        </w:rPr>
        <w:t xml:space="preserve">: negativo; </w:t>
      </w:r>
      <w:proofErr w:type="spellStart"/>
      <w:r>
        <w:rPr>
          <w:rFonts w:ascii="Arial" w:hAnsi="Arial" w:cs="Arial"/>
          <w:b/>
          <w:color w:val="000000" w:themeColor="text1"/>
          <w:shd w:val="clear" w:color="auto" w:fill="FFFFFF"/>
        </w:rPr>
        <w:t>Gasometria</w:t>
      </w:r>
      <w:proofErr w:type="spellEnd"/>
      <w:r>
        <w:rPr>
          <w:rFonts w:ascii="Arial" w:hAnsi="Arial" w:cs="Arial"/>
          <w:b/>
          <w:color w:val="000000" w:themeColor="text1"/>
          <w:shd w:val="clear" w:color="auto" w:fill="FFFFFF"/>
        </w:rPr>
        <w:t xml:space="preserve"> arterial basal actual:</w:t>
      </w:r>
      <w:r>
        <w:rPr>
          <w:rFonts w:ascii="Arial" w:hAnsi="Arial" w:cs="Arial"/>
          <w:color w:val="000000" w:themeColor="text1"/>
          <w:shd w:val="clear" w:color="auto" w:fill="FFFFFF"/>
        </w:rPr>
        <w:t xml:space="preserve"> pO2: 73; pCO2: 38 </w:t>
      </w:r>
      <w:proofErr w:type="spellStart"/>
      <w:r>
        <w:rPr>
          <w:rFonts w:ascii="Arial" w:hAnsi="Arial" w:cs="Arial"/>
          <w:color w:val="000000" w:themeColor="text1"/>
          <w:shd w:val="clear" w:color="auto" w:fill="FFFFFF"/>
        </w:rPr>
        <w:t>mmHg</w:t>
      </w:r>
      <w:proofErr w:type="spellEnd"/>
    </w:p>
    <w:p w:rsidR="00DE5FCE" w:rsidRDefault="00DE5FCE" w:rsidP="00DE5FCE">
      <w:pPr>
        <w:pStyle w:val="Prrafodelista"/>
        <w:numPr>
          <w:ilvl w:val="0"/>
          <w:numId w:val="2"/>
        </w:numPr>
        <w:spacing w:line="240" w:lineRule="auto"/>
        <w:rPr>
          <w:rFonts w:ascii="Arial" w:hAnsi="Arial" w:cs="Arial"/>
          <w:color w:val="000000" w:themeColor="text1"/>
        </w:rPr>
      </w:pPr>
      <w:r>
        <w:rPr>
          <w:rFonts w:ascii="Arial" w:hAnsi="Arial" w:cs="Arial"/>
          <w:b/>
          <w:color w:val="000000" w:themeColor="text1"/>
          <w:shd w:val="clear" w:color="auto" w:fill="FFFFFF"/>
        </w:rPr>
        <w:t xml:space="preserve">TCAR TÓRAX </w:t>
      </w:r>
      <w:r>
        <w:rPr>
          <w:rFonts w:ascii="Arial" w:hAnsi="Arial" w:cs="Arial"/>
          <w:color w:val="000000" w:themeColor="text1"/>
          <w:shd w:val="clear" w:color="auto" w:fill="FFFFFF"/>
        </w:rPr>
        <w:t>(Figuras 1 y 2):</w:t>
      </w:r>
      <w:r>
        <w:rPr>
          <w:rFonts w:ascii="Arial" w:hAnsi="Arial" w:cs="Arial"/>
          <w:b/>
          <w:color w:val="000000" w:themeColor="text1"/>
          <w:shd w:val="clear" w:color="auto" w:fill="FFFFFF"/>
        </w:rPr>
        <w:t xml:space="preserve"> </w:t>
      </w:r>
      <w:r>
        <w:rPr>
          <w:rFonts w:ascii="Arial" w:hAnsi="Arial" w:cs="Arial"/>
          <w:color w:val="000000" w:themeColor="text1"/>
          <w:shd w:val="clear" w:color="auto" w:fill="FFFFFF"/>
        </w:rPr>
        <w:t xml:space="preserve">No se objetiva enfisema. </w:t>
      </w:r>
      <w:proofErr w:type="spellStart"/>
      <w:r>
        <w:rPr>
          <w:rFonts w:ascii="Arial" w:hAnsi="Arial" w:cs="Arial"/>
          <w:color w:val="000000" w:themeColor="text1"/>
          <w:shd w:val="clear" w:color="auto" w:fill="FFFFFF"/>
        </w:rPr>
        <w:t>Bronquiolectasias</w:t>
      </w:r>
      <w:proofErr w:type="spellEnd"/>
      <w:r>
        <w:rPr>
          <w:rFonts w:ascii="Arial" w:hAnsi="Arial" w:cs="Arial"/>
          <w:color w:val="000000" w:themeColor="text1"/>
          <w:shd w:val="clear" w:color="auto" w:fill="FFFFFF"/>
        </w:rPr>
        <w:t xml:space="preserve"> en campos medios y ambas bases pulmonares. Cardiomegalia. </w:t>
      </w:r>
    </w:p>
    <w:p w:rsidR="00DE5FCE" w:rsidRDefault="00DE5FCE" w:rsidP="00DE5FCE">
      <w:pPr>
        <w:pStyle w:val="Prrafodelista"/>
        <w:numPr>
          <w:ilvl w:val="0"/>
          <w:numId w:val="2"/>
        </w:numPr>
        <w:spacing w:line="240" w:lineRule="auto"/>
        <w:jc w:val="both"/>
        <w:rPr>
          <w:rFonts w:ascii="Arial" w:hAnsi="Arial" w:cs="Arial"/>
          <w:color w:val="000000" w:themeColor="text1"/>
        </w:rPr>
      </w:pPr>
      <w:r>
        <w:rPr>
          <w:rFonts w:ascii="Arial" w:hAnsi="Arial" w:cs="Arial"/>
          <w:b/>
          <w:color w:val="000000" w:themeColor="text1"/>
        </w:rPr>
        <w:t>ESPIROMETRÍAS</w:t>
      </w:r>
      <w:r>
        <w:rPr>
          <w:rFonts w:ascii="Arial" w:hAnsi="Arial" w:cs="Arial"/>
          <w:color w:val="000000" w:themeColor="text1"/>
        </w:rPr>
        <w:t>:</w:t>
      </w:r>
    </w:p>
    <w:p w:rsidR="00DE5FCE" w:rsidRDefault="00DE5FCE" w:rsidP="00DE5FCE">
      <w:pPr>
        <w:pStyle w:val="Prrafodelista"/>
        <w:numPr>
          <w:ilvl w:val="0"/>
          <w:numId w:val="3"/>
        </w:numPr>
        <w:spacing w:line="240" w:lineRule="auto"/>
        <w:jc w:val="both"/>
        <w:rPr>
          <w:rFonts w:ascii="Arial" w:hAnsi="Arial" w:cs="Arial"/>
          <w:color w:val="000000" w:themeColor="text1"/>
        </w:rPr>
      </w:pPr>
      <w:r>
        <w:rPr>
          <w:rFonts w:ascii="Arial" w:hAnsi="Arial" w:cs="Arial"/>
          <w:color w:val="000000" w:themeColor="text1"/>
        </w:rPr>
        <w:t xml:space="preserve">2002: FVC: 108%; </w:t>
      </w:r>
      <w:r>
        <w:rPr>
          <w:rFonts w:ascii="Arial" w:hAnsi="Arial" w:cs="Arial"/>
          <w:b/>
          <w:color w:val="000000" w:themeColor="text1"/>
        </w:rPr>
        <w:t>FEV1: 92%;</w:t>
      </w:r>
      <w:r>
        <w:rPr>
          <w:rFonts w:ascii="Arial" w:hAnsi="Arial" w:cs="Arial"/>
          <w:color w:val="000000" w:themeColor="text1"/>
        </w:rPr>
        <w:t xml:space="preserve"> FEV1/FVC: 66%</w:t>
      </w:r>
    </w:p>
    <w:p w:rsidR="00DE5FCE" w:rsidRDefault="00DE5FCE" w:rsidP="00DE5FCE">
      <w:pPr>
        <w:pStyle w:val="Prrafodelista"/>
        <w:numPr>
          <w:ilvl w:val="0"/>
          <w:numId w:val="3"/>
        </w:numPr>
        <w:spacing w:line="240" w:lineRule="auto"/>
        <w:jc w:val="both"/>
        <w:rPr>
          <w:rFonts w:ascii="Arial" w:hAnsi="Arial" w:cs="Arial"/>
          <w:color w:val="000000" w:themeColor="text1"/>
          <w:lang w:val="en-GB"/>
        </w:rPr>
      </w:pPr>
      <w:r>
        <w:rPr>
          <w:rFonts w:ascii="Arial" w:hAnsi="Arial" w:cs="Arial"/>
          <w:color w:val="000000" w:themeColor="text1"/>
          <w:lang w:val="en-GB"/>
        </w:rPr>
        <w:t xml:space="preserve">2016: FVC: 76%; </w:t>
      </w:r>
      <w:r>
        <w:rPr>
          <w:rFonts w:ascii="Arial" w:hAnsi="Arial" w:cs="Arial"/>
          <w:b/>
          <w:color w:val="000000" w:themeColor="text1"/>
          <w:lang w:val="en-GB"/>
        </w:rPr>
        <w:t>FEV1: 69%;</w:t>
      </w:r>
      <w:r>
        <w:rPr>
          <w:rFonts w:ascii="Arial" w:hAnsi="Arial" w:cs="Arial"/>
          <w:color w:val="000000" w:themeColor="text1"/>
          <w:lang w:val="en-GB"/>
        </w:rPr>
        <w:t xml:space="preserve"> FEV1/FVC: 66%</w:t>
      </w:r>
    </w:p>
    <w:p w:rsidR="00DE5FCE" w:rsidRDefault="00DE5FCE" w:rsidP="00DE5FCE">
      <w:pPr>
        <w:pStyle w:val="Prrafodelista"/>
        <w:numPr>
          <w:ilvl w:val="0"/>
          <w:numId w:val="3"/>
        </w:numPr>
        <w:spacing w:line="240" w:lineRule="auto"/>
        <w:jc w:val="both"/>
        <w:rPr>
          <w:rFonts w:ascii="Arial" w:hAnsi="Arial" w:cs="Arial"/>
          <w:color w:val="000000" w:themeColor="text1"/>
          <w:lang w:val="en-GB"/>
        </w:rPr>
      </w:pPr>
      <w:r>
        <w:rPr>
          <w:rFonts w:ascii="Arial" w:hAnsi="Arial" w:cs="Arial"/>
          <w:color w:val="000000" w:themeColor="text1"/>
          <w:lang w:val="en-GB"/>
        </w:rPr>
        <w:t xml:space="preserve">2019: FVC: 60%; </w:t>
      </w:r>
      <w:r>
        <w:rPr>
          <w:rFonts w:ascii="Arial" w:hAnsi="Arial" w:cs="Arial"/>
          <w:b/>
          <w:color w:val="000000" w:themeColor="text1"/>
          <w:lang w:val="en-GB"/>
        </w:rPr>
        <w:t>FEV1: 49%;</w:t>
      </w:r>
      <w:r>
        <w:rPr>
          <w:rFonts w:ascii="Arial" w:hAnsi="Arial" w:cs="Arial"/>
          <w:color w:val="000000" w:themeColor="text1"/>
          <w:lang w:val="en-GB"/>
        </w:rPr>
        <w:t xml:space="preserve"> FEV1/FVC: 60%; PBD: +11%</w:t>
      </w:r>
    </w:p>
    <w:p w:rsidR="00DE5FCE" w:rsidRDefault="00DE5FCE" w:rsidP="00DE5FCE">
      <w:pPr>
        <w:pStyle w:val="Prrafodelista"/>
        <w:numPr>
          <w:ilvl w:val="0"/>
          <w:numId w:val="3"/>
        </w:numPr>
        <w:spacing w:line="240" w:lineRule="auto"/>
        <w:jc w:val="both"/>
        <w:rPr>
          <w:rFonts w:ascii="Arial" w:hAnsi="Arial" w:cs="Arial"/>
          <w:color w:val="000000" w:themeColor="text1"/>
        </w:rPr>
      </w:pPr>
      <w:r>
        <w:rPr>
          <w:rFonts w:ascii="Arial" w:hAnsi="Arial" w:cs="Arial"/>
          <w:color w:val="000000" w:themeColor="text1"/>
        </w:rPr>
        <w:t>Difusión alveolar: no realizado (no colabora).</w:t>
      </w:r>
    </w:p>
    <w:p w:rsidR="00DE5FCE" w:rsidRDefault="00DE5FCE" w:rsidP="00DE5FCE">
      <w:pPr>
        <w:pStyle w:val="Prrafodelista"/>
        <w:numPr>
          <w:ilvl w:val="0"/>
          <w:numId w:val="1"/>
        </w:numPr>
        <w:spacing w:line="240" w:lineRule="auto"/>
        <w:jc w:val="both"/>
        <w:rPr>
          <w:rFonts w:ascii="Arial" w:hAnsi="Arial" w:cs="Arial"/>
          <w:color w:val="000000" w:themeColor="text1"/>
        </w:rPr>
      </w:pPr>
      <w:r>
        <w:rPr>
          <w:rFonts w:ascii="Arial" w:hAnsi="Arial" w:cs="Arial"/>
          <w:color w:val="000000" w:themeColor="text1"/>
          <w:u w:val="single"/>
        </w:rPr>
        <w:t>Problemas para el diagnóstico</w:t>
      </w:r>
      <w:r>
        <w:rPr>
          <w:rFonts w:ascii="Arial" w:hAnsi="Arial" w:cs="Arial"/>
          <w:color w:val="000000" w:themeColor="text1"/>
        </w:rPr>
        <w:t xml:space="preserve">: Falta de sospecha clínica. Hasta 2018 no dispusimos del algoritmo actual del Alfa-1 </w:t>
      </w:r>
      <w:proofErr w:type="spellStart"/>
      <w:r>
        <w:rPr>
          <w:rFonts w:ascii="Arial" w:hAnsi="Arial" w:cs="Arial"/>
          <w:i/>
          <w:color w:val="000000" w:themeColor="text1"/>
        </w:rPr>
        <w:t>genotyping</w:t>
      </w:r>
      <w:proofErr w:type="spellEnd"/>
      <w:r>
        <w:rPr>
          <w:rFonts w:ascii="Arial" w:hAnsi="Arial" w:cs="Arial"/>
          <w:i/>
          <w:color w:val="000000" w:themeColor="text1"/>
        </w:rPr>
        <w:t xml:space="preserve"> test® </w:t>
      </w:r>
      <w:r>
        <w:rPr>
          <w:rFonts w:ascii="Arial" w:hAnsi="Arial" w:cs="Arial"/>
          <w:color w:val="000000" w:themeColor="text1"/>
        </w:rPr>
        <w:t>(Figura 3).</w:t>
      </w:r>
    </w:p>
    <w:p w:rsidR="00DE5FCE" w:rsidRDefault="00DE5FCE" w:rsidP="00DE5FCE">
      <w:pPr>
        <w:pStyle w:val="Prrafodelista"/>
        <w:numPr>
          <w:ilvl w:val="0"/>
          <w:numId w:val="1"/>
        </w:numPr>
        <w:spacing w:line="240" w:lineRule="auto"/>
        <w:jc w:val="both"/>
        <w:rPr>
          <w:rFonts w:ascii="Arial" w:hAnsi="Arial" w:cs="Arial"/>
          <w:color w:val="000000" w:themeColor="text1"/>
        </w:rPr>
      </w:pPr>
      <w:r>
        <w:rPr>
          <w:rFonts w:ascii="Arial" w:hAnsi="Arial" w:cs="Arial"/>
          <w:color w:val="000000" w:themeColor="text1"/>
          <w:u w:val="single"/>
        </w:rPr>
        <w:t>Razonamiento diagnóstico</w:t>
      </w:r>
      <w:r>
        <w:rPr>
          <w:rFonts w:ascii="Arial" w:hAnsi="Arial" w:cs="Arial"/>
          <w:color w:val="000000" w:themeColor="text1"/>
        </w:rPr>
        <w:t xml:space="preserve">: Ante el diagnóstico de DAAT con genotipo SZ en paciente no fumador (aunque sí en contacto con biomasa), se solicita TAC de tórax para evaluar la afectación parenquimatosa pulmonar. Ante el historial de afectación cardíaca se realiza una búsqueda bibliográfica mostrando evidencia de afectación cardíaca en pacientes con DAAT. </w:t>
      </w:r>
    </w:p>
    <w:p w:rsidR="00DE5FCE" w:rsidRDefault="00DE5FCE" w:rsidP="00DE5FCE">
      <w:pPr>
        <w:numPr>
          <w:ilvl w:val="0"/>
          <w:numId w:val="1"/>
        </w:numPr>
        <w:spacing w:line="240" w:lineRule="auto"/>
        <w:jc w:val="both"/>
        <w:rPr>
          <w:rFonts w:ascii="Arial" w:hAnsi="Arial" w:cs="Arial"/>
          <w:b/>
          <w:color w:val="000000" w:themeColor="text1"/>
        </w:rPr>
      </w:pPr>
      <w:r>
        <w:rPr>
          <w:rFonts w:ascii="Arial" w:hAnsi="Arial" w:cs="Arial"/>
          <w:b/>
          <w:bCs/>
          <w:color w:val="000000" w:themeColor="text1"/>
        </w:rPr>
        <w:t>Discusión</w:t>
      </w:r>
      <w:r>
        <w:rPr>
          <w:rFonts w:ascii="Arial" w:hAnsi="Arial" w:cs="Arial"/>
          <w:b/>
          <w:color w:val="000000" w:themeColor="text1"/>
        </w:rPr>
        <w:t xml:space="preserve"> y conclusiones: </w:t>
      </w:r>
    </w:p>
    <w:p w:rsidR="00DE5FCE" w:rsidRDefault="00DE5FCE" w:rsidP="00DE5FCE">
      <w:pPr>
        <w:pStyle w:val="Prrafodelista"/>
        <w:numPr>
          <w:ilvl w:val="0"/>
          <w:numId w:val="4"/>
        </w:numPr>
        <w:spacing w:line="240" w:lineRule="auto"/>
        <w:jc w:val="both"/>
        <w:rPr>
          <w:rFonts w:ascii="Arial" w:hAnsi="Arial" w:cs="Arial"/>
          <w:color w:val="000000" w:themeColor="text1"/>
        </w:rPr>
      </w:pPr>
      <w:r>
        <w:rPr>
          <w:rFonts w:ascii="Arial" w:hAnsi="Arial" w:cs="Arial"/>
          <w:color w:val="000000" w:themeColor="text1"/>
        </w:rPr>
        <w:t xml:space="preserve">Puntos fuertes y limitaciones en el manejo de este caso. </w:t>
      </w:r>
    </w:p>
    <w:p w:rsidR="00DE5FCE" w:rsidRDefault="00DE5FCE" w:rsidP="00DE5FCE">
      <w:pPr>
        <w:pStyle w:val="Prrafodelista"/>
        <w:numPr>
          <w:ilvl w:val="1"/>
          <w:numId w:val="4"/>
        </w:numPr>
        <w:spacing w:line="240" w:lineRule="auto"/>
        <w:jc w:val="both"/>
        <w:rPr>
          <w:rFonts w:ascii="Arial" w:hAnsi="Arial" w:cs="Arial"/>
          <w:color w:val="000000" w:themeColor="text1"/>
        </w:rPr>
      </w:pPr>
      <w:r>
        <w:rPr>
          <w:rFonts w:ascii="Arial" w:hAnsi="Arial" w:cs="Arial"/>
          <w:color w:val="000000" w:themeColor="text1"/>
        </w:rPr>
        <w:t xml:space="preserve">La solicitud de niveles de AAT queda relegada a pacientes con historia de tabaquismo y EPOC (en nuestro caso en 2002 presentaba datos </w:t>
      </w:r>
      <w:proofErr w:type="spellStart"/>
      <w:r>
        <w:rPr>
          <w:rFonts w:ascii="Arial" w:hAnsi="Arial" w:cs="Arial"/>
          <w:color w:val="000000" w:themeColor="text1"/>
        </w:rPr>
        <w:t>espirométricos</w:t>
      </w:r>
      <w:proofErr w:type="spellEnd"/>
      <w:r>
        <w:rPr>
          <w:rFonts w:ascii="Arial" w:hAnsi="Arial" w:cs="Arial"/>
          <w:color w:val="000000" w:themeColor="text1"/>
        </w:rPr>
        <w:t xml:space="preserve"> de EPOC, pero no historia de tabaquismo).</w:t>
      </w:r>
    </w:p>
    <w:p w:rsidR="00DE5FCE" w:rsidRDefault="00DE5FCE" w:rsidP="00DE5FCE">
      <w:pPr>
        <w:pStyle w:val="Prrafodelista"/>
        <w:numPr>
          <w:ilvl w:val="1"/>
          <w:numId w:val="4"/>
        </w:numPr>
        <w:spacing w:line="240" w:lineRule="auto"/>
        <w:jc w:val="both"/>
        <w:rPr>
          <w:rFonts w:ascii="Arial" w:hAnsi="Arial" w:cs="Arial"/>
          <w:color w:val="000000" w:themeColor="text1"/>
        </w:rPr>
      </w:pPr>
      <w:r>
        <w:rPr>
          <w:rFonts w:ascii="Arial" w:hAnsi="Arial" w:cs="Arial"/>
          <w:color w:val="000000" w:themeColor="text1"/>
        </w:rPr>
        <w:t>Los niveles de AAT, como reactante de fase aguda que es, dependen de la estabilidad del paciente (en nuestro caso presentó niveles normales en aparente estado de estabilidad).</w:t>
      </w:r>
    </w:p>
    <w:p w:rsidR="00DE5FCE" w:rsidRDefault="00DE5FCE" w:rsidP="00DE5FCE">
      <w:pPr>
        <w:pStyle w:val="Prrafodelista"/>
        <w:numPr>
          <w:ilvl w:val="1"/>
          <w:numId w:val="4"/>
        </w:numPr>
        <w:spacing w:line="240" w:lineRule="auto"/>
        <w:jc w:val="both"/>
        <w:rPr>
          <w:rFonts w:ascii="Arial" w:hAnsi="Arial" w:cs="Arial"/>
          <w:color w:val="000000" w:themeColor="text1"/>
        </w:rPr>
      </w:pPr>
      <w:r>
        <w:rPr>
          <w:rFonts w:ascii="Arial" w:hAnsi="Arial" w:cs="Arial"/>
          <w:color w:val="000000" w:themeColor="text1"/>
        </w:rPr>
        <w:t xml:space="preserve">Tras la protocolización del algoritmo diagnóstico de DAAT en la consulta de enfermería del Servicio (Figura 3), realizándose estudio genético a todos los pacientes con obstrucción (crónica o no) al flujo aéreo, se elimina por completo el infra-diagnóstico siempre y cuando exista esta limitación al flujo aéreo (es posible que el utilizar únicamente </w:t>
      </w:r>
      <w:r>
        <w:rPr>
          <w:rFonts w:ascii="Arial" w:hAnsi="Arial" w:cs="Arial"/>
          <w:color w:val="000000" w:themeColor="text1"/>
        </w:rPr>
        <w:lastRenderedPageBreak/>
        <w:t>esta variable, no permita diagnosticar a pacientes con DAAT sin afectación de la vía aérea (cardiopatía, DM, fibromialgia...).</w:t>
      </w:r>
    </w:p>
    <w:p w:rsidR="00DE5FCE" w:rsidRDefault="00DE5FCE" w:rsidP="00DE5FCE">
      <w:pPr>
        <w:pStyle w:val="Prrafodelista"/>
        <w:numPr>
          <w:ilvl w:val="1"/>
          <w:numId w:val="4"/>
        </w:numPr>
        <w:spacing w:line="240" w:lineRule="auto"/>
        <w:jc w:val="both"/>
        <w:rPr>
          <w:rFonts w:ascii="Arial" w:hAnsi="Arial" w:cs="Arial"/>
          <w:color w:val="000000" w:themeColor="text1"/>
        </w:rPr>
      </w:pPr>
      <w:r>
        <w:rPr>
          <w:rFonts w:ascii="Arial" w:hAnsi="Arial" w:cs="Arial"/>
          <w:color w:val="000000" w:themeColor="text1"/>
        </w:rPr>
        <w:t>La relación del enfisema con el DAAT y el tabaquismo está ampliamente descrita. En cambio, el daño pulmonar en pacientes con DAAT sin tabaquismo, así como la afectación pulmonar en heterocigotos, debería ser estudiada con mayor profundidad, así como su relación con patología cardiaca o metabólica.</w:t>
      </w:r>
    </w:p>
    <w:p w:rsidR="00DE5FCE" w:rsidRDefault="00DE5FCE" w:rsidP="00DE5FCE">
      <w:pPr>
        <w:pStyle w:val="Prrafodelista"/>
        <w:numPr>
          <w:ilvl w:val="0"/>
          <w:numId w:val="1"/>
        </w:numPr>
        <w:spacing w:line="240" w:lineRule="auto"/>
        <w:jc w:val="both"/>
        <w:rPr>
          <w:rFonts w:ascii="Arial" w:hAnsi="Arial" w:cs="Arial"/>
          <w:color w:val="000000" w:themeColor="text1"/>
        </w:rPr>
      </w:pPr>
      <w:r>
        <w:rPr>
          <w:rFonts w:ascii="Arial" w:hAnsi="Arial" w:cs="Arial"/>
          <w:b/>
          <w:bCs/>
          <w:color w:val="000000" w:themeColor="text1"/>
        </w:rPr>
        <w:t>Consentimiento informado: Firmado el 29/03/2019</w:t>
      </w:r>
    </w:p>
    <w:p w:rsidR="00DE5FCE" w:rsidRDefault="00DE5FCE" w:rsidP="00DE5FCE">
      <w:pPr>
        <w:spacing w:line="240" w:lineRule="auto"/>
        <w:jc w:val="both"/>
        <w:rPr>
          <w:rFonts w:ascii="Arial" w:hAnsi="Arial" w:cs="Arial"/>
          <w:b/>
          <w:bCs/>
          <w:color w:val="000000" w:themeColor="text1"/>
        </w:rPr>
      </w:pPr>
    </w:p>
    <w:p w:rsidR="00DE5FCE" w:rsidRDefault="00DE5FCE" w:rsidP="00DE5FCE">
      <w:pPr>
        <w:spacing w:line="240" w:lineRule="auto"/>
        <w:jc w:val="both"/>
        <w:rPr>
          <w:rFonts w:ascii="Arial" w:hAnsi="Arial" w:cs="Arial"/>
          <w:b/>
          <w:bCs/>
          <w:color w:val="000000" w:themeColor="text1"/>
        </w:rPr>
      </w:pPr>
      <w:r>
        <w:rPr>
          <w:rFonts w:ascii="Arial" w:hAnsi="Arial" w:cs="Arial"/>
          <w:b/>
          <w:noProof/>
          <w:color w:val="000000" w:themeColor="text1"/>
          <w:lang w:eastAsia="es-ES"/>
        </w:rPr>
        <w:drawing>
          <wp:inline distT="0" distB="0" distL="0" distR="0">
            <wp:extent cx="3049905" cy="2009775"/>
            <wp:effectExtent l="0" t="0" r="0" b="9525"/>
            <wp:docPr id="3" name="Imagen 3" descr="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9905" cy="2009775"/>
                    </a:xfrm>
                    <a:prstGeom prst="rect">
                      <a:avLst/>
                    </a:prstGeom>
                    <a:noFill/>
                    <a:ln>
                      <a:noFill/>
                    </a:ln>
                  </pic:spPr>
                </pic:pic>
              </a:graphicData>
            </a:graphic>
          </wp:inline>
        </w:drawing>
      </w:r>
      <w:bookmarkStart w:id="0" w:name="_GoBack"/>
      <w:bookmarkEnd w:id="0"/>
    </w:p>
    <w:p w:rsidR="00DE5FCE" w:rsidRDefault="00DE5FCE" w:rsidP="00DE5FCE">
      <w:pPr>
        <w:spacing w:line="240" w:lineRule="auto"/>
        <w:jc w:val="both"/>
        <w:rPr>
          <w:rFonts w:ascii="Arial" w:hAnsi="Arial" w:cs="Arial"/>
          <w:b/>
          <w:bCs/>
          <w:color w:val="000000" w:themeColor="text1"/>
        </w:rPr>
      </w:pPr>
      <w:r>
        <w:rPr>
          <w:rFonts w:ascii="Arial" w:hAnsi="Arial" w:cs="Arial"/>
          <w:b/>
          <w:noProof/>
          <w:color w:val="000000" w:themeColor="text1"/>
          <w:lang w:eastAsia="es-ES"/>
        </w:rPr>
        <w:drawing>
          <wp:inline distT="0" distB="0" distL="0" distR="0">
            <wp:extent cx="3049905" cy="2009775"/>
            <wp:effectExtent l="0" t="0" r="0" b="9525"/>
            <wp:docPr id="2" name="Imagen 2" descr="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905" cy="2009775"/>
                    </a:xfrm>
                    <a:prstGeom prst="rect">
                      <a:avLst/>
                    </a:prstGeom>
                    <a:noFill/>
                    <a:ln>
                      <a:noFill/>
                    </a:ln>
                  </pic:spPr>
                </pic:pic>
              </a:graphicData>
            </a:graphic>
          </wp:inline>
        </w:drawing>
      </w:r>
    </w:p>
    <w:p w:rsidR="00DE5FCE" w:rsidRDefault="00DE5FCE" w:rsidP="00DE5FCE">
      <w:pPr>
        <w:spacing w:line="240" w:lineRule="auto"/>
        <w:jc w:val="both"/>
        <w:rPr>
          <w:rFonts w:ascii="Arial" w:hAnsi="Arial" w:cs="Arial"/>
          <w:b/>
          <w:bCs/>
          <w:color w:val="000000" w:themeColor="text1"/>
        </w:rPr>
      </w:pPr>
      <w:r>
        <w:rPr>
          <w:rFonts w:ascii="Arial" w:hAnsi="Arial" w:cs="Arial"/>
          <w:b/>
          <w:noProof/>
          <w:color w:val="000000" w:themeColor="text1"/>
          <w:lang w:eastAsia="es-ES"/>
        </w:rPr>
        <w:drawing>
          <wp:inline distT="0" distB="0" distL="0" distR="0">
            <wp:extent cx="3049905" cy="2245995"/>
            <wp:effectExtent l="0" t="0" r="0" b="1905"/>
            <wp:docPr id="1" name="Imagen 1" descr="Captura de pantalla 2019-03-29 a las 0.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aptura de pantalla 2019-03-29 a las 0.16.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905" cy="2245995"/>
                    </a:xfrm>
                    <a:prstGeom prst="rect">
                      <a:avLst/>
                    </a:prstGeom>
                    <a:noFill/>
                    <a:ln>
                      <a:noFill/>
                    </a:ln>
                  </pic:spPr>
                </pic:pic>
              </a:graphicData>
            </a:graphic>
          </wp:inline>
        </w:drawing>
      </w:r>
    </w:p>
    <w:p w:rsidR="00DD0B42" w:rsidRDefault="00DE5FCE"/>
    <w:sectPr w:rsidR="00DD0B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68C"/>
    <w:multiLevelType w:val="hybridMultilevel"/>
    <w:tmpl w:val="1DB03D5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31B6CD1"/>
    <w:multiLevelType w:val="hybridMultilevel"/>
    <w:tmpl w:val="CB7C04F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57AF2281"/>
    <w:multiLevelType w:val="hybridMultilevel"/>
    <w:tmpl w:val="1CA42AE4"/>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3">
    <w:nsid w:val="651810F2"/>
    <w:multiLevelType w:val="hybridMultilevel"/>
    <w:tmpl w:val="DF2C476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CE"/>
    <w:rsid w:val="003B3F68"/>
    <w:rsid w:val="00DE5FCE"/>
    <w:rsid w:val="00EC2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CE"/>
    <w:pPr>
      <w:spacing w:after="160" w:line="256" w:lineRule="auto"/>
    </w:pPr>
    <w:rPr>
      <w:rFonts w:ascii="Calibri" w:eastAsiaTheme="minorEastAsia"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E5FCE"/>
    <w:pPr>
      <w:ind w:left="720"/>
    </w:pPr>
  </w:style>
  <w:style w:type="paragraph" w:styleId="Textodeglobo">
    <w:name w:val="Balloon Text"/>
    <w:basedOn w:val="Normal"/>
    <w:link w:val="TextodegloboCar"/>
    <w:uiPriority w:val="99"/>
    <w:semiHidden/>
    <w:unhideWhenUsed/>
    <w:rsid w:val="00DE5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FC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CE"/>
    <w:pPr>
      <w:spacing w:after="160" w:line="256" w:lineRule="auto"/>
    </w:pPr>
    <w:rPr>
      <w:rFonts w:ascii="Calibri" w:eastAsiaTheme="minorEastAsia"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E5FCE"/>
    <w:pPr>
      <w:ind w:left="720"/>
    </w:pPr>
  </w:style>
  <w:style w:type="paragraph" w:styleId="Textodeglobo">
    <w:name w:val="Balloon Text"/>
    <w:basedOn w:val="Normal"/>
    <w:link w:val="TextodegloboCar"/>
    <w:uiPriority w:val="99"/>
    <w:semiHidden/>
    <w:unhideWhenUsed/>
    <w:rsid w:val="00DE5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F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SOCALPAR</dc:creator>
  <cp:lastModifiedBy>SOCALPAR</cp:lastModifiedBy>
  <cp:revision>1</cp:revision>
  <dcterms:created xsi:type="dcterms:W3CDTF">2019-03-29T12:24:00Z</dcterms:created>
  <dcterms:modified xsi:type="dcterms:W3CDTF">2019-03-29T12:25:00Z</dcterms:modified>
</cp:coreProperties>
</file>