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B18F" w14:textId="77777777" w:rsidR="00CC6FFC" w:rsidRPr="001225DA" w:rsidRDefault="00CC6FFC" w:rsidP="001225DA">
      <w:pPr>
        <w:spacing w:line="240" w:lineRule="auto"/>
        <w:jc w:val="center"/>
        <w:rPr>
          <w:rFonts w:ascii="Arial" w:hAnsi="Arial" w:cs="Arial"/>
          <w:b/>
        </w:rPr>
      </w:pPr>
      <w:r w:rsidRPr="001225DA">
        <w:rPr>
          <w:rFonts w:ascii="Arial" w:hAnsi="Arial" w:cs="Arial"/>
          <w:b/>
        </w:rPr>
        <w:t>INFECCIÓN POR MICOBACTERIAS NO TUBERCULOSAS EN MUJER JOVEN SIN PATOLOGÍA RESPIRATORIA PREVIA</w:t>
      </w:r>
    </w:p>
    <w:p w14:paraId="30AF8C3F" w14:textId="77777777" w:rsidR="00CC6FFC" w:rsidRPr="001225DA" w:rsidRDefault="00CC6FFC" w:rsidP="001225DA">
      <w:pPr>
        <w:spacing w:line="240" w:lineRule="auto"/>
        <w:jc w:val="both"/>
        <w:rPr>
          <w:rFonts w:ascii="Arial" w:hAnsi="Arial" w:cs="Arial"/>
        </w:rPr>
      </w:pPr>
    </w:p>
    <w:p w14:paraId="09E459F2" w14:textId="7702094D" w:rsidR="00CC6FFC" w:rsidRPr="001225DA" w:rsidRDefault="001225DA" w:rsidP="001225DA">
      <w:pPr>
        <w:spacing w:line="240" w:lineRule="auto"/>
        <w:jc w:val="both"/>
        <w:rPr>
          <w:rFonts w:ascii="Arial" w:hAnsi="Arial" w:cs="Arial"/>
        </w:rPr>
      </w:pPr>
      <w:r>
        <w:rPr>
          <w:rFonts w:ascii="Arial" w:hAnsi="Arial" w:cs="Arial"/>
        </w:rPr>
        <w:t xml:space="preserve">Autores: </w:t>
      </w:r>
      <w:r w:rsidR="005D3977">
        <w:rPr>
          <w:rFonts w:ascii="Arial" w:hAnsi="Arial" w:cs="Arial"/>
        </w:rPr>
        <w:t xml:space="preserve">Milagros T. Rosales </w:t>
      </w:r>
      <w:proofErr w:type="gramStart"/>
      <w:r w:rsidR="005D3977">
        <w:rPr>
          <w:rFonts w:ascii="Arial" w:hAnsi="Arial" w:cs="Arial"/>
        </w:rPr>
        <w:t>Dedió</w:t>
      </w:r>
      <w:r w:rsidR="00CC6FFC" w:rsidRPr="001225DA">
        <w:rPr>
          <w:rFonts w:ascii="Arial" w:hAnsi="Arial" w:cs="Arial"/>
        </w:rPr>
        <w:t>s</w:t>
      </w:r>
      <w:r w:rsidR="00CC6FFC" w:rsidRPr="001225DA">
        <w:rPr>
          <w:rFonts w:ascii="Arial" w:hAnsi="Arial" w:cs="Arial"/>
          <w:vertAlign w:val="superscript"/>
        </w:rPr>
        <w:t>(</w:t>
      </w:r>
      <w:proofErr w:type="gramEnd"/>
      <w:r w:rsidR="00CC6FFC" w:rsidRPr="001225DA">
        <w:rPr>
          <w:rFonts w:ascii="Arial" w:hAnsi="Arial" w:cs="Arial"/>
          <w:vertAlign w:val="superscript"/>
        </w:rPr>
        <w:t>1)</w:t>
      </w:r>
      <w:r w:rsidR="00CC6FFC" w:rsidRPr="001225DA">
        <w:rPr>
          <w:rFonts w:ascii="Arial" w:hAnsi="Arial" w:cs="Arial"/>
        </w:rPr>
        <w:t>, Virginia Guevara Velázquez</w:t>
      </w:r>
      <w:r w:rsidR="00CC6FFC" w:rsidRPr="001225DA">
        <w:rPr>
          <w:rFonts w:ascii="Arial" w:hAnsi="Arial" w:cs="Arial"/>
          <w:vertAlign w:val="superscript"/>
        </w:rPr>
        <w:t>(1)</w:t>
      </w:r>
      <w:r w:rsidR="00CC6FFC" w:rsidRPr="001225DA">
        <w:rPr>
          <w:rFonts w:ascii="Arial" w:hAnsi="Arial" w:cs="Arial"/>
        </w:rPr>
        <w:t>, Soraya Jodra Sánchez</w:t>
      </w:r>
      <w:r w:rsidR="00CC6FFC" w:rsidRPr="001225DA">
        <w:rPr>
          <w:rFonts w:ascii="Arial" w:hAnsi="Arial" w:cs="Arial"/>
          <w:vertAlign w:val="superscript"/>
        </w:rPr>
        <w:t>(2)</w:t>
      </w:r>
      <w:r w:rsidR="00CC6FFC" w:rsidRPr="001225DA">
        <w:rPr>
          <w:rFonts w:ascii="Arial" w:hAnsi="Arial" w:cs="Arial"/>
        </w:rPr>
        <w:t>, Rosa Cordovilla Pérez</w:t>
      </w:r>
      <w:r w:rsidR="00CC6FFC" w:rsidRPr="001225DA">
        <w:rPr>
          <w:rFonts w:ascii="Arial" w:hAnsi="Arial" w:cs="Arial"/>
          <w:vertAlign w:val="superscript"/>
        </w:rPr>
        <w:t>(2)</w:t>
      </w:r>
      <w:r w:rsidR="00CC6FFC" w:rsidRPr="001225DA">
        <w:rPr>
          <w:rFonts w:ascii="Arial" w:hAnsi="Arial" w:cs="Arial"/>
        </w:rPr>
        <w:t>, Jose María González Ruíz</w:t>
      </w:r>
      <w:r w:rsidR="00CC6FFC" w:rsidRPr="001225DA">
        <w:rPr>
          <w:rFonts w:ascii="Arial" w:hAnsi="Arial" w:cs="Arial"/>
          <w:vertAlign w:val="superscript"/>
        </w:rPr>
        <w:t>(2)</w:t>
      </w:r>
      <w:r w:rsidR="00CC6FFC" w:rsidRPr="001225DA">
        <w:rPr>
          <w:rFonts w:ascii="Arial" w:hAnsi="Arial" w:cs="Arial"/>
        </w:rPr>
        <w:t>, Miguel Ángel Hernández Mezquita</w:t>
      </w:r>
      <w:r w:rsidR="00CC6FFC" w:rsidRPr="001225DA">
        <w:rPr>
          <w:rFonts w:ascii="Arial" w:hAnsi="Arial" w:cs="Arial"/>
          <w:vertAlign w:val="superscript"/>
        </w:rPr>
        <w:t>(2)</w:t>
      </w:r>
      <w:r w:rsidR="00CC6FFC" w:rsidRPr="001225DA">
        <w:rPr>
          <w:rFonts w:ascii="Arial" w:hAnsi="Arial" w:cs="Arial"/>
        </w:rPr>
        <w:t>.</w:t>
      </w:r>
    </w:p>
    <w:p w14:paraId="185B3C6F" w14:textId="10609CC7" w:rsidR="00CC6FFC" w:rsidRPr="001225DA" w:rsidRDefault="00CC6FFC" w:rsidP="001225DA">
      <w:pPr>
        <w:spacing w:line="240" w:lineRule="auto"/>
        <w:jc w:val="center"/>
        <w:rPr>
          <w:rFonts w:ascii="Arial" w:hAnsi="Arial" w:cs="Arial"/>
        </w:rPr>
      </w:pPr>
      <w:r w:rsidRPr="001225DA">
        <w:rPr>
          <w:rFonts w:ascii="Arial" w:hAnsi="Arial" w:cs="Arial"/>
        </w:rPr>
        <w:t>1. Médico residente. Servicio de Neumología.2. Médico Adjunto. Servicio de Neumología. Hospital Universitario de Salamanca</w:t>
      </w:r>
    </w:p>
    <w:p w14:paraId="7F2A258B" w14:textId="77777777" w:rsidR="00CC6FFC" w:rsidRPr="001225DA" w:rsidRDefault="00CC6FFC" w:rsidP="001225DA">
      <w:pPr>
        <w:spacing w:line="240" w:lineRule="auto"/>
        <w:jc w:val="both"/>
        <w:rPr>
          <w:rFonts w:ascii="Arial" w:hAnsi="Arial" w:cs="Arial"/>
        </w:rPr>
      </w:pPr>
      <w:r w:rsidRPr="001225DA">
        <w:rPr>
          <w:rFonts w:ascii="Arial" w:hAnsi="Arial" w:cs="Arial"/>
          <w:u w:val="single"/>
        </w:rPr>
        <w:t>ANTECEDENTES PERSONALES</w:t>
      </w:r>
      <w:r w:rsidRPr="001225DA">
        <w:rPr>
          <w:rFonts w:ascii="Arial" w:hAnsi="Arial" w:cs="Arial"/>
        </w:rPr>
        <w:t xml:space="preserve">: Mujer de 31 años fumadora social IPA: &lt;10 </w:t>
      </w:r>
      <w:proofErr w:type="spellStart"/>
      <w:r w:rsidRPr="001225DA">
        <w:rPr>
          <w:rFonts w:ascii="Arial" w:hAnsi="Arial" w:cs="Arial"/>
        </w:rPr>
        <w:t>paq</w:t>
      </w:r>
      <w:proofErr w:type="spellEnd"/>
      <w:r w:rsidRPr="001225DA">
        <w:rPr>
          <w:rFonts w:ascii="Arial" w:hAnsi="Arial" w:cs="Arial"/>
        </w:rPr>
        <w:t>/año. Sin antecedentes patológicos previos conocidos. Profesión: abogada.</w:t>
      </w:r>
    </w:p>
    <w:p w14:paraId="0EEF40AE" w14:textId="5F5C0DEC" w:rsidR="00CC6FFC" w:rsidRPr="001225DA" w:rsidRDefault="00CC6FFC" w:rsidP="001225DA">
      <w:pPr>
        <w:spacing w:line="240" w:lineRule="auto"/>
        <w:jc w:val="both"/>
        <w:rPr>
          <w:rFonts w:ascii="Arial" w:hAnsi="Arial" w:cs="Arial"/>
        </w:rPr>
      </w:pPr>
      <w:r w:rsidRPr="001225DA">
        <w:rPr>
          <w:rFonts w:ascii="Arial" w:hAnsi="Arial" w:cs="Arial"/>
          <w:u w:val="single"/>
        </w:rPr>
        <w:t>ANAMNESIS</w:t>
      </w:r>
      <w:r w:rsidRPr="001225DA">
        <w:rPr>
          <w:rFonts w:ascii="Arial" w:hAnsi="Arial" w:cs="Arial"/>
        </w:rPr>
        <w:t>: La paciente es remitida desde Urgencias a la Consulta de Neumología por tos</w:t>
      </w:r>
      <w:r w:rsidR="004C7D0A">
        <w:rPr>
          <w:rFonts w:ascii="Arial" w:hAnsi="Arial" w:cs="Arial"/>
        </w:rPr>
        <w:t xml:space="preserve"> con expectoración</w:t>
      </w:r>
      <w:r w:rsidRPr="001225DA">
        <w:rPr>
          <w:rFonts w:ascii="Arial" w:hAnsi="Arial" w:cs="Arial"/>
        </w:rPr>
        <w:t xml:space="preserve"> purulenta y hemoptisis franca no amenazante, de carácter intermitente desde hace 4 meses. En este periodo acude a Urgencias </w:t>
      </w:r>
      <w:r w:rsidR="007A4890">
        <w:rPr>
          <w:rFonts w:ascii="Arial" w:hAnsi="Arial" w:cs="Arial"/>
        </w:rPr>
        <w:t xml:space="preserve">hasta </w:t>
      </w:r>
      <w:r w:rsidRPr="001225DA">
        <w:rPr>
          <w:rFonts w:ascii="Arial" w:hAnsi="Arial" w:cs="Arial"/>
        </w:rPr>
        <w:t xml:space="preserve">en 3 ocasiones. Se había realizado radiografía de tórax (PA y lateral) y analítica rutinaria sin encontrar hallazgos patológicos. Posteriormente es valorada por Otorrinolaringología y objetiva sangre acumulada en el espacio </w:t>
      </w:r>
      <w:proofErr w:type="spellStart"/>
      <w:r w:rsidRPr="001225DA">
        <w:rPr>
          <w:rFonts w:ascii="Arial" w:hAnsi="Arial" w:cs="Arial"/>
        </w:rPr>
        <w:t>subglótico</w:t>
      </w:r>
      <w:proofErr w:type="spellEnd"/>
      <w:r w:rsidRPr="001225DA">
        <w:rPr>
          <w:rFonts w:ascii="Arial" w:hAnsi="Arial" w:cs="Arial"/>
        </w:rPr>
        <w:t xml:space="preserve"> lo que sugiere que su origen es de vía aérea inferior, </w:t>
      </w:r>
      <w:r w:rsidR="001225DA">
        <w:rPr>
          <w:rFonts w:ascii="Arial" w:hAnsi="Arial" w:cs="Arial"/>
        </w:rPr>
        <w:t>recomendando</w:t>
      </w:r>
      <w:r w:rsidRPr="001225DA">
        <w:rPr>
          <w:rFonts w:ascii="Arial" w:hAnsi="Arial" w:cs="Arial"/>
        </w:rPr>
        <w:t xml:space="preserve"> valoración por Neumología.</w:t>
      </w:r>
    </w:p>
    <w:p w14:paraId="0B911E5E" w14:textId="77777777" w:rsidR="00CC6FFC" w:rsidRPr="001225DA" w:rsidRDefault="00CC6FFC" w:rsidP="001225DA">
      <w:pPr>
        <w:spacing w:line="240" w:lineRule="auto"/>
        <w:jc w:val="both"/>
        <w:rPr>
          <w:rFonts w:ascii="Arial" w:hAnsi="Arial" w:cs="Arial"/>
        </w:rPr>
      </w:pPr>
      <w:r w:rsidRPr="001225DA">
        <w:rPr>
          <w:rFonts w:ascii="Arial" w:hAnsi="Arial" w:cs="Arial"/>
          <w:u w:val="single"/>
        </w:rPr>
        <w:t>EXPLORACIÓN FÍSICA:</w:t>
      </w:r>
      <w:r w:rsidRPr="001225DA">
        <w:rPr>
          <w:rFonts w:ascii="Arial" w:hAnsi="Arial" w:cs="Arial"/>
        </w:rPr>
        <w:t xml:space="preserve"> </w:t>
      </w:r>
      <w:proofErr w:type="spellStart"/>
      <w:r w:rsidRPr="001225DA">
        <w:rPr>
          <w:rFonts w:ascii="Arial" w:hAnsi="Arial" w:cs="Arial"/>
        </w:rPr>
        <w:t>Hemodinámicamente</w:t>
      </w:r>
      <w:proofErr w:type="spellEnd"/>
      <w:r w:rsidRPr="001225DA">
        <w:rPr>
          <w:rFonts w:ascii="Arial" w:hAnsi="Arial" w:cs="Arial"/>
        </w:rPr>
        <w:t xml:space="preserve"> estable, afebril, </w:t>
      </w:r>
      <w:proofErr w:type="spellStart"/>
      <w:r w:rsidRPr="001225DA">
        <w:rPr>
          <w:rFonts w:ascii="Arial" w:hAnsi="Arial" w:cs="Arial"/>
        </w:rPr>
        <w:t>eupneica</w:t>
      </w:r>
      <w:proofErr w:type="spellEnd"/>
      <w:r w:rsidRPr="001225DA">
        <w:rPr>
          <w:rFonts w:ascii="Arial" w:hAnsi="Arial" w:cs="Arial"/>
        </w:rPr>
        <w:t xml:space="preserve">. AC: rítmica sin soplos. AP: ruidos respiratorios normales. Resto de exploración sin hallazgos relevantes. </w:t>
      </w:r>
    </w:p>
    <w:p w14:paraId="5946B6BE" w14:textId="77777777" w:rsidR="00CC6FFC" w:rsidRPr="001225DA" w:rsidRDefault="00CC6FFC" w:rsidP="001225DA">
      <w:pPr>
        <w:spacing w:line="240" w:lineRule="auto"/>
        <w:jc w:val="both"/>
        <w:rPr>
          <w:rFonts w:ascii="Arial" w:hAnsi="Arial" w:cs="Arial"/>
        </w:rPr>
      </w:pPr>
      <w:r w:rsidRPr="001225DA">
        <w:rPr>
          <w:rFonts w:ascii="Arial" w:hAnsi="Arial" w:cs="Arial"/>
          <w:u w:val="single"/>
        </w:rPr>
        <w:t>EXPLORACIONES COMPLEMENTARIAS</w:t>
      </w:r>
      <w:r w:rsidRPr="001225DA">
        <w:rPr>
          <w:rFonts w:ascii="Arial" w:hAnsi="Arial" w:cs="Arial"/>
        </w:rPr>
        <w:t xml:space="preserve">: Hemograma, bioquímica y coagulación: normal. Radiografía de tórax: sin hallazgos patológicos (figura 1).  </w:t>
      </w:r>
    </w:p>
    <w:p w14:paraId="08DD7284" w14:textId="4D3D5814" w:rsidR="00CC6FFC" w:rsidRPr="001225DA" w:rsidRDefault="00CC6FFC" w:rsidP="005D3977">
      <w:pPr>
        <w:spacing w:line="240" w:lineRule="auto"/>
        <w:jc w:val="both"/>
        <w:rPr>
          <w:rFonts w:ascii="Arial" w:hAnsi="Arial" w:cs="Arial"/>
        </w:rPr>
      </w:pPr>
      <w:r w:rsidRPr="001225DA">
        <w:rPr>
          <w:rFonts w:ascii="Arial" w:hAnsi="Arial" w:cs="Arial"/>
          <w:u w:val="single"/>
        </w:rPr>
        <w:t>EVOLUCIÓN</w:t>
      </w:r>
      <w:r w:rsidRPr="001225DA">
        <w:rPr>
          <w:rFonts w:ascii="Arial" w:hAnsi="Arial" w:cs="Arial"/>
        </w:rPr>
        <w:t xml:space="preserve">: En la consulta de Neumología se solicita </w:t>
      </w:r>
      <w:proofErr w:type="spellStart"/>
      <w:r w:rsidRPr="001225DA">
        <w:rPr>
          <w:rFonts w:ascii="Arial" w:hAnsi="Arial" w:cs="Arial"/>
        </w:rPr>
        <w:t>angioTC</w:t>
      </w:r>
      <w:proofErr w:type="spellEnd"/>
      <w:r w:rsidRPr="001225DA">
        <w:rPr>
          <w:rFonts w:ascii="Arial" w:hAnsi="Arial" w:cs="Arial"/>
        </w:rPr>
        <w:t xml:space="preserve"> torácico, cultivo de esputo y broncoscopia (FBC). En la </w:t>
      </w:r>
      <w:proofErr w:type="spellStart"/>
      <w:r w:rsidRPr="001225DA">
        <w:rPr>
          <w:rFonts w:ascii="Arial" w:hAnsi="Arial" w:cs="Arial"/>
        </w:rPr>
        <w:t>angioTC</w:t>
      </w:r>
      <w:proofErr w:type="spellEnd"/>
      <w:r w:rsidRPr="001225DA">
        <w:rPr>
          <w:rFonts w:ascii="Arial" w:hAnsi="Arial" w:cs="Arial"/>
        </w:rPr>
        <w:t xml:space="preserve"> se evidencia un área en vidrio deslustrado en el segmento </w:t>
      </w:r>
      <w:proofErr w:type="spellStart"/>
      <w:r w:rsidRPr="001225DA">
        <w:rPr>
          <w:rFonts w:ascii="Arial" w:hAnsi="Arial" w:cs="Arial"/>
        </w:rPr>
        <w:t>apicoposterior</w:t>
      </w:r>
      <w:proofErr w:type="spellEnd"/>
      <w:r w:rsidRPr="001225DA">
        <w:rPr>
          <w:rFonts w:ascii="Arial" w:hAnsi="Arial" w:cs="Arial"/>
        </w:rPr>
        <w:t xml:space="preserve"> del LSI, que sugiere componente hemorrágico </w:t>
      </w:r>
      <w:r w:rsidR="005D6ADB" w:rsidRPr="001225DA">
        <w:rPr>
          <w:rFonts w:ascii="Arial" w:hAnsi="Arial" w:cs="Arial"/>
        </w:rPr>
        <w:t>y opacidades</w:t>
      </w:r>
      <w:r w:rsidRPr="001225DA">
        <w:rPr>
          <w:rFonts w:ascii="Arial" w:hAnsi="Arial" w:cs="Arial"/>
        </w:rPr>
        <w:t xml:space="preserve"> de distribución </w:t>
      </w:r>
      <w:proofErr w:type="spellStart"/>
      <w:r w:rsidRPr="001225DA">
        <w:rPr>
          <w:rFonts w:ascii="Arial" w:hAnsi="Arial" w:cs="Arial"/>
        </w:rPr>
        <w:t>centrolobulillar</w:t>
      </w:r>
      <w:proofErr w:type="spellEnd"/>
      <w:r w:rsidRPr="001225DA">
        <w:rPr>
          <w:rFonts w:ascii="Arial" w:hAnsi="Arial" w:cs="Arial"/>
        </w:rPr>
        <w:t xml:space="preserve"> en</w:t>
      </w:r>
      <w:r w:rsidR="005D6ADB" w:rsidRPr="001225DA">
        <w:rPr>
          <w:rFonts w:ascii="Arial" w:hAnsi="Arial" w:cs="Arial"/>
        </w:rPr>
        <w:t xml:space="preserve"> el </w:t>
      </w:r>
      <w:r w:rsidRPr="001225DA">
        <w:rPr>
          <w:rFonts w:ascii="Arial" w:hAnsi="Arial" w:cs="Arial"/>
        </w:rPr>
        <w:t xml:space="preserve">segmento </w:t>
      </w:r>
      <w:proofErr w:type="spellStart"/>
      <w:r w:rsidRPr="001225DA">
        <w:rPr>
          <w:rFonts w:ascii="Arial" w:hAnsi="Arial" w:cs="Arial"/>
        </w:rPr>
        <w:t>apicoposterior</w:t>
      </w:r>
      <w:proofErr w:type="spellEnd"/>
      <w:r w:rsidRPr="001225DA">
        <w:rPr>
          <w:rFonts w:ascii="Arial" w:hAnsi="Arial" w:cs="Arial"/>
        </w:rPr>
        <w:t xml:space="preserve"> del LSI, segmento posterior del LSD (con pequeño foco de condensación </w:t>
      </w:r>
      <w:proofErr w:type="spellStart"/>
      <w:r w:rsidRPr="001225DA">
        <w:rPr>
          <w:rFonts w:ascii="Arial" w:hAnsi="Arial" w:cs="Arial"/>
        </w:rPr>
        <w:t>subpleural</w:t>
      </w:r>
      <w:proofErr w:type="spellEnd"/>
      <w:r w:rsidRPr="001225DA">
        <w:rPr>
          <w:rFonts w:ascii="Arial" w:hAnsi="Arial" w:cs="Arial"/>
        </w:rPr>
        <w:t xml:space="preserve"> asociado), LM, </w:t>
      </w:r>
      <w:proofErr w:type="spellStart"/>
      <w:r w:rsidRPr="001225DA">
        <w:rPr>
          <w:rFonts w:ascii="Arial" w:hAnsi="Arial" w:cs="Arial"/>
        </w:rPr>
        <w:t>língula</w:t>
      </w:r>
      <w:proofErr w:type="spellEnd"/>
      <w:r w:rsidRPr="001225DA">
        <w:rPr>
          <w:rFonts w:ascii="Arial" w:hAnsi="Arial" w:cs="Arial"/>
        </w:rPr>
        <w:t xml:space="preserve"> y LID, que sugieren patología de pequeña vía aérea (figura 2). En el cultivo de esputo se </w:t>
      </w:r>
      <w:proofErr w:type="spellStart"/>
      <w:r w:rsidRPr="001225DA">
        <w:rPr>
          <w:rFonts w:ascii="Arial" w:hAnsi="Arial" w:cs="Arial"/>
        </w:rPr>
        <w:t>aisla</w:t>
      </w:r>
      <w:proofErr w:type="spellEnd"/>
      <w:r w:rsidRPr="001225DA">
        <w:rPr>
          <w:rFonts w:ascii="Arial" w:hAnsi="Arial" w:cs="Arial"/>
        </w:rPr>
        <w:t xml:space="preserve"> </w:t>
      </w:r>
      <w:r w:rsidRPr="001225DA">
        <w:rPr>
          <w:rFonts w:ascii="Arial" w:hAnsi="Arial" w:cs="Arial"/>
          <w:i/>
        </w:rPr>
        <w:t xml:space="preserve">S. </w:t>
      </w:r>
      <w:proofErr w:type="spellStart"/>
      <w:r w:rsidRPr="001225DA">
        <w:rPr>
          <w:rFonts w:ascii="Arial" w:hAnsi="Arial" w:cs="Arial"/>
          <w:i/>
        </w:rPr>
        <w:t>aureus</w:t>
      </w:r>
      <w:proofErr w:type="spellEnd"/>
      <w:r w:rsidRPr="001225DA">
        <w:rPr>
          <w:rFonts w:ascii="Arial" w:hAnsi="Arial" w:cs="Arial"/>
          <w:i/>
        </w:rPr>
        <w:t xml:space="preserve"> </w:t>
      </w:r>
      <w:proofErr w:type="spellStart"/>
      <w:r w:rsidRPr="001225DA">
        <w:rPr>
          <w:rFonts w:ascii="Arial" w:hAnsi="Arial" w:cs="Arial"/>
          <w:i/>
        </w:rPr>
        <w:t>meticilin</w:t>
      </w:r>
      <w:proofErr w:type="spellEnd"/>
      <w:r w:rsidRPr="001225DA">
        <w:rPr>
          <w:rFonts w:ascii="Arial" w:hAnsi="Arial" w:cs="Arial"/>
          <w:i/>
        </w:rPr>
        <w:t xml:space="preserve"> sensible</w:t>
      </w:r>
      <w:r w:rsidRPr="001225DA">
        <w:rPr>
          <w:rFonts w:ascii="Arial" w:hAnsi="Arial" w:cs="Arial"/>
        </w:rPr>
        <w:t xml:space="preserve"> iniciándose tratamiento dirigido con </w:t>
      </w:r>
      <w:proofErr w:type="spellStart"/>
      <w:r w:rsidRPr="001225DA">
        <w:rPr>
          <w:rFonts w:ascii="Arial" w:hAnsi="Arial" w:cs="Arial"/>
        </w:rPr>
        <w:t>sulfametoxazol</w:t>
      </w:r>
      <w:proofErr w:type="spellEnd"/>
      <w:r w:rsidRPr="001225DA">
        <w:rPr>
          <w:rFonts w:ascii="Arial" w:hAnsi="Arial" w:cs="Arial"/>
        </w:rPr>
        <w:t>/</w:t>
      </w:r>
      <w:proofErr w:type="spellStart"/>
      <w:r w:rsidRPr="001225DA">
        <w:rPr>
          <w:rFonts w:ascii="Arial" w:hAnsi="Arial" w:cs="Arial"/>
        </w:rPr>
        <w:t>trimetroprin</w:t>
      </w:r>
      <w:proofErr w:type="spellEnd"/>
      <w:r w:rsidRPr="001225DA">
        <w:rPr>
          <w:rFonts w:ascii="Arial" w:hAnsi="Arial" w:cs="Arial"/>
        </w:rPr>
        <w:t xml:space="preserve">. La </w:t>
      </w:r>
      <w:proofErr w:type="spellStart"/>
      <w:r w:rsidRPr="001225DA">
        <w:rPr>
          <w:rFonts w:ascii="Arial" w:hAnsi="Arial" w:cs="Arial"/>
        </w:rPr>
        <w:t>baciloscopia</w:t>
      </w:r>
      <w:proofErr w:type="spellEnd"/>
      <w:r w:rsidRPr="001225DA">
        <w:rPr>
          <w:rFonts w:ascii="Arial" w:hAnsi="Arial" w:cs="Arial"/>
        </w:rPr>
        <w:t xml:space="preserve"> es negativa. En la FBC se observa inflamación difusa con secreciones purulentas y no se observa sangrado activo (figura 3).</w:t>
      </w:r>
      <w:r w:rsidR="001225DA">
        <w:rPr>
          <w:rFonts w:ascii="Arial" w:hAnsi="Arial" w:cs="Arial"/>
        </w:rPr>
        <w:t xml:space="preserve"> </w:t>
      </w:r>
      <w:r w:rsidRPr="001225DA">
        <w:rPr>
          <w:rFonts w:ascii="Arial" w:hAnsi="Arial" w:cs="Arial"/>
        </w:rPr>
        <w:t xml:space="preserve">Se recoge un </w:t>
      </w:r>
      <w:proofErr w:type="spellStart"/>
      <w:r w:rsidRPr="001225DA">
        <w:rPr>
          <w:rFonts w:ascii="Arial" w:hAnsi="Arial" w:cs="Arial"/>
        </w:rPr>
        <w:t>broncoaspirado</w:t>
      </w:r>
      <w:proofErr w:type="spellEnd"/>
      <w:r w:rsidRPr="001225DA">
        <w:rPr>
          <w:rFonts w:ascii="Arial" w:hAnsi="Arial" w:cs="Arial"/>
        </w:rPr>
        <w:t xml:space="preserve"> (BAS) para análisis microbiológico y </w:t>
      </w:r>
      <w:proofErr w:type="spellStart"/>
      <w:r w:rsidRPr="001225DA">
        <w:rPr>
          <w:rFonts w:ascii="Arial" w:hAnsi="Arial" w:cs="Arial"/>
        </w:rPr>
        <w:t>citopatológico</w:t>
      </w:r>
      <w:proofErr w:type="spellEnd"/>
      <w:r w:rsidRPr="001225DA">
        <w:rPr>
          <w:rFonts w:ascii="Arial" w:hAnsi="Arial" w:cs="Arial"/>
        </w:rPr>
        <w:t xml:space="preserve">. Tras el tratamiento antibiótico no presenta mejoría clínica. En el cultivo de </w:t>
      </w:r>
      <w:proofErr w:type="spellStart"/>
      <w:r w:rsidRPr="001225DA">
        <w:rPr>
          <w:rFonts w:ascii="Arial" w:hAnsi="Arial" w:cs="Arial"/>
        </w:rPr>
        <w:t>micobacterias</w:t>
      </w:r>
      <w:proofErr w:type="spellEnd"/>
      <w:r w:rsidRPr="001225DA">
        <w:rPr>
          <w:rFonts w:ascii="Arial" w:hAnsi="Arial" w:cs="Arial"/>
        </w:rPr>
        <w:t xml:space="preserve"> del esputo y del BAS se </w:t>
      </w:r>
      <w:proofErr w:type="spellStart"/>
      <w:r w:rsidRPr="001225DA">
        <w:rPr>
          <w:rFonts w:ascii="Arial" w:hAnsi="Arial" w:cs="Arial"/>
        </w:rPr>
        <w:t>aisla</w:t>
      </w:r>
      <w:proofErr w:type="spellEnd"/>
      <w:r w:rsidRPr="001225DA">
        <w:rPr>
          <w:rFonts w:ascii="Arial" w:hAnsi="Arial" w:cs="Arial"/>
        </w:rPr>
        <w:t xml:space="preserve"> </w:t>
      </w:r>
      <w:proofErr w:type="spellStart"/>
      <w:r w:rsidRPr="001225DA">
        <w:rPr>
          <w:rFonts w:ascii="Arial" w:hAnsi="Arial" w:cs="Arial"/>
          <w:i/>
          <w:iCs/>
        </w:rPr>
        <w:t>mycobacterium</w:t>
      </w:r>
      <w:proofErr w:type="spellEnd"/>
      <w:r w:rsidRPr="001225DA">
        <w:rPr>
          <w:rFonts w:ascii="Arial" w:hAnsi="Arial" w:cs="Arial"/>
          <w:i/>
          <w:iCs/>
        </w:rPr>
        <w:t xml:space="preserve"> </w:t>
      </w:r>
      <w:proofErr w:type="spellStart"/>
      <w:r w:rsidRPr="001225DA">
        <w:rPr>
          <w:rFonts w:ascii="Arial" w:hAnsi="Arial" w:cs="Arial"/>
          <w:i/>
          <w:iCs/>
        </w:rPr>
        <w:t>avium</w:t>
      </w:r>
      <w:proofErr w:type="spellEnd"/>
      <w:r w:rsidRPr="001225DA">
        <w:rPr>
          <w:rFonts w:ascii="Arial" w:hAnsi="Arial" w:cs="Arial"/>
          <w:i/>
          <w:iCs/>
        </w:rPr>
        <w:t xml:space="preserve"> </w:t>
      </w:r>
      <w:proofErr w:type="spellStart"/>
      <w:r w:rsidRPr="001225DA">
        <w:rPr>
          <w:rFonts w:ascii="Arial" w:hAnsi="Arial" w:cs="Arial"/>
          <w:i/>
          <w:iCs/>
        </w:rPr>
        <w:t>intracellulare</w:t>
      </w:r>
      <w:proofErr w:type="spellEnd"/>
      <w:r w:rsidRPr="001225DA">
        <w:rPr>
          <w:rFonts w:ascii="Arial" w:hAnsi="Arial" w:cs="Arial"/>
          <w:i/>
          <w:iCs/>
        </w:rPr>
        <w:t xml:space="preserve"> </w:t>
      </w:r>
      <w:proofErr w:type="spellStart"/>
      <w:r w:rsidRPr="001225DA">
        <w:rPr>
          <w:rFonts w:ascii="Arial" w:hAnsi="Arial" w:cs="Arial"/>
          <w:i/>
          <w:iCs/>
        </w:rPr>
        <w:t>complex</w:t>
      </w:r>
      <w:proofErr w:type="spellEnd"/>
      <w:r w:rsidRPr="001225DA">
        <w:rPr>
          <w:rFonts w:ascii="Arial" w:hAnsi="Arial" w:cs="Arial"/>
          <w:i/>
          <w:iCs/>
        </w:rPr>
        <w:t xml:space="preserve"> </w:t>
      </w:r>
      <w:r w:rsidRPr="001225DA">
        <w:rPr>
          <w:rFonts w:ascii="Arial" w:hAnsi="Arial" w:cs="Arial"/>
          <w:iCs/>
        </w:rPr>
        <w:t>(MAI)</w:t>
      </w:r>
      <w:r w:rsidRPr="001225DA">
        <w:rPr>
          <w:rFonts w:ascii="Arial" w:hAnsi="Arial" w:cs="Arial"/>
          <w:i/>
          <w:iCs/>
        </w:rPr>
        <w:t xml:space="preserve">. </w:t>
      </w:r>
      <w:r w:rsidRPr="001225DA">
        <w:rPr>
          <w:rFonts w:ascii="Arial" w:hAnsi="Arial" w:cs="Arial"/>
          <w:iCs/>
        </w:rPr>
        <w:t xml:space="preserve">Se inicia tratamiento con </w:t>
      </w:r>
      <w:proofErr w:type="spellStart"/>
      <w:r w:rsidRPr="001225DA">
        <w:rPr>
          <w:rFonts w:ascii="Arial" w:hAnsi="Arial" w:cs="Arial"/>
          <w:iCs/>
        </w:rPr>
        <w:t>azitromicina</w:t>
      </w:r>
      <w:proofErr w:type="spellEnd"/>
      <w:r w:rsidRPr="001225DA">
        <w:rPr>
          <w:rFonts w:ascii="Arial" w:hAnsi="Arial" w:cs="Arial"/>
          <w:iCs/>
        </w:rPr>
        <w:t xml:space="preserve">, </w:t>
      </w:r>
      <w:proofErr w:type="spellStart"/>
      <w:r w:rsidRPr="001225DA">
        <w:rPr>
          <w:rFonts w:ascii="Arial" w:hAnsi="Arial" w:cs="Arial"/>
          <w:iCs/>
        </w:rPr>
        <w:t>rifampicina</w:t>
      </w:r>
      <w:proofErr w:type="spellEnd"/>
      <w:r w:rsidRPr="001225DA">
        <w:rPr>
          <w:rFonts w:ascii="Arial" w:hAnsi="Arial" w:cs="Arial"/>
          <w:iCs/>
        </w:rPr>
        <w:t xml:space="preserve"> y </w:t>
      </w:r>
      <w:proofErr w:type="spellStart"/>
      <w:r w:rsidRPr="001225DA">
        <w:rPr>
          <w:rFonts w:ascii="Arial" w:hAnsi="Arial" w:cs="Arial"/>
          <w:iCs/>
        </w:rPr>
        <w:t>myambutol</w:t>
      </w:r>
      <w:proofErr w:type="spellEnd"/>
      <w:r w:rsidRPr="001225DA">
        <w:rPr>
          <w:rFonts w:ascii="Arial" w:hAnsi="Arial" w:cs="Arial"/>
          <w:iCs/>
        </w:rPr>
        <w:t xml:space="preserve"> 3 veces por semana. Ante estos nuevos </w:t>
      </w:r>
      <w:r w:rsidRPr="001225DA">
        <w:rPr>
          <w:rFonts w:ascii="Arial" w:hAnsi="Arial" w:cs="Arial"/>
        </w:rPr>
        <w:t xml:space="preserve">hallazgos se amplía el estudio con serologías (VIH y virus </w:t>
      </w:r>
      <w:proofErr w:type="spellStart"/>
      <w:r w:rsidRPr="001225DA">
        <w:rPr>
          <w:rFonts w:ascii="Arial" w:hAnsi="Arial" w:cs="Arial"/>
        </w:rPr>
        <w:t>hepatotrópos</w:t>
      </w:r>
      <w:proofErr w:type="spellEnd"/>
      <w:r w:rsidRPr="001225DA">
        <w:rPr>
          <w:rFonts w:ascii="Arial" w:hAnsi="Arial" w:cs="Arial"/>
        </w:rPr>
        <w:t xml:space="preserve">), alfa 1 </w:t>
      </w:r>
      <w:proofErr w:type="spellStart"/>
      <w:r w:rsidRPr="001225DA">
        <w:rPr>
          <w:rFonts w:ascii="Arial" w:hAnsi="Arial" w:cs="Arial"/>
        </w:rPr>
        <w:t>antitripsina</w:t>
      </w:r>
      <w:proofErr w:type="spellEnd"/>
      <w:r w:rsidRPr="001225DA">
        <w:rPr>
          <w:rFonts w:ascii="Arial" w:hAnsi="Arial" w:cs="Arial"/>
        </w:rPr>
        <w:t xml:space="preserve">, inmunoglobulinas, complemento y autoinmunidad, con resultado negativo. La paciente presenta mejoría clínica y tras 3 meses de tratamiento específico el cultivo de </w:t>
      </w:r>
      <w:proofErr w:type="spellStart"/>
      <w:r w:rsidRPr="001225DA">
        <w:rPr>
          <w:rFonts w:ascii="Arial" w:hAnsi="Arial" w:cs="Arial"/>
        </w:rPr>
        <w:t>micobacterias</w:t>
      </w:r>
      <w:proofErr w:type="spellEnd"/>
      <w:r w:rsidRPr="001225DA">
        <w:rPr>
          <w:rFonts w:ascii="Arial" w:hAnsi="Arial" w:cs="Arial"/>
        </w:rPr>
        <w:t xml:space="preserve"> se </w:t>
      </w:r>
      <w:proofErr w:type="spellStart"/>
      <w:r w:rsidRPr="001225DA">
        <w:rPr>
          <w:rFonts w:ascii="Arial" w:hAnsi="Arial" w:cs="Arial"/>
        </w:rPr>
        <w:t>negativiza</w:t>
      </w:r>
      <w:proofErr w:type="spellEnd"/>
      <w:r w:rsidRPr="001225DA">
        <w:rPr>
          <w:rFonts w:ascii="Arial" w:hAnsi="Arial" w:cs="Arial"/>
        </w:rPr>
        <w:t xml:space="preserve"> y tampoco se aíslan nuevas bacterias.</w:t>
      </w:r>
    </w:p>
    <w:p w14:paraId="327EDD1D" w14:textId="0F886474" w:rsidR="00CC6FFC" w:rsidRPr="001225DA" w:rsidRDefault="00CC6FFC" w:rsidP="005D3977">
      <w:pPr>
        <w:spacing w:line="240" w:lineRule="auto"/>
        <w:jc w:val="both"/>
        <w:rPr>
          <w:rFonts w:ascii="Arial" w:hAnsi="Arial" w:cs="Arial"/>
          <w:iCs/>
        </w:rPr>
      </w:pPr>
      <w:r w:rsidRPr="001225DA">
        <w:rPr>
          <w:rFonts w:ascii="Arial" w:hAnsi="Arial" w:cs="Arial"/>
        </w:rPr>
        <w:t xml:space="preserve">Tras 6 meses de tratamiento para MAI reaparece la expectoración purulenta y se detecta en el esputo una nueva </w:t>
      </w:r>
      <w:proofErr w:type="spellStart"/>
      <w:r w:rsidRPr="001225DA">
        <w:rPr>
          <w:rFonts w:ascii="Arial" w:hAnsi="Arial" w:cs="Arial"/>
        </w:rPr>
        <w:t>micobacteria</w:t>
      </w:r>
      <w:proofErr w:type="spellEnd"/>
      <w:r w:rsidRPr="001225DA">
        <w:rPr>
          <w:rFonts w:ascii="Arial" w:hAnsi="Arial" w:cs="Arial"/>
        </w:rPr>
        <w:t xml:space="preserve">: </w:t>
      </w:r>
      <w:proofErr w:type="spellStart"/>
      <w:r w:rsidRPr="001225DA">
        <w:rPr>
          <w:rFonts w:ascii="Arial" w:hAnsi="Arial" w:cs="Arial"/>
          <w:i/>
          <w:iCs/>
        </w:rPr>
        <w:t>mycobacterium</w:t>
      </w:r>
      <w:proofErr w:type="spellEnd"/>
      <w:r w:rsidRPr="001225DA">
        <w:rPr>
          <w:rFonts w:ascii="Arial" w:hAnsi="Arial" w:cs="Arial"/>
          <w:i/>
          <w:iCs/>
        </w:rPr>
        <w:t xml:space="preserve"> </w:t>
      </w:r>
      <w:proofErr w:type="spellStart"/>
      <w:r w:rsidRPr="001225DA">
        <w:rPr>
          <w:rFonts w:ascii="Arial" w:hAnsi="Arial" w:cs="Arial"/>
          <w:i/>
          <w:iCs/>
        </w:rPr>
        <w:t>chelonae</w:t>
      </w:r>
      <w:proofErr w:type="spellEnd"/>
      <w:r w:rsidRPr="001225DA">
        <w:rPr>
          <w:rFonts w:ascii="Arial" w:hAnsi="Arial" w:cs="Arial"/>
          <w:i/>
          <w:iCs/>
        </w:rPr>
        <w:t xml:space="preserve">. </w:t>
      </w:r>
      <w:r w:rsidRPr="001225DA">
        <w:rPr>
          <w:rFonts w:ascii="Arial" w:hAnsi="Arial" w:cs="Arial"/>
          <w:iCs/>
        </w:rPr>
        <w:t>El aislamiento se repite en dos esputos consecutivos</w:t>
      </w:r>
      <w:r w:rsidRPr="001225DA">
        <w:rPr>
          <w:rFonts w:ascii="Arial" w:hAnsi="Arial" w:cs="Arial"/>
          <w:i/>
          <w:iCs/>
        </w:rPr>
        <w:t>.</w:t>
      </w:r>
      <w:r w:rsidRPr="001225DA">
        <w:rPr>
          <w:rFonts w:ascii="Arial" w:hAnsi="Arial" w:cs="Arial"/>
          <w:iCs/>
        </w:rPr>
        <w:t xml:space="preserve"> Se realiza TCAR que demuestra un empeoramiento radiológico con mayor afectación de vía aérea pequeña bilateral (opacidades nodulares </w:t>
      </w:r>
      <w:proofErr w:type="spellStart"/>
      <w:r w:rsidRPr="001225DA">
        <w:rPr>
          <w:rFonts w:ascii="Arial" w:hAnsi="Arial" w:cs="Arial"/>
          <w:iCs/>
        </w:rPr>
        <w:t>centrolobulillares</w:t>
      </w:r>
      <w:proofErr w:type="spellEnd"/>
      <w:r w:rsidRPr="001225DA">
        <w:rPr>
          <w:rFonts w:ascii="Arial" w:hAnsi="Arial" w:cs="Arial"/>
          <w:iCs/>
        </w:rPr>
        <w:t xml:space="preserve"> bilaterales y árbol en brote con tendencia a la consolidación). No se objetivan bronquiectasias (figura 4). Se remite la muestra para estudio al Instituto Nacional de Majadahonda en Madrid </w:t>
      </w:r>
      <w:r w:rsidR="0099507F" w:rsidRPr="0099507F">
        <w:rPr>
          <w:rFonts w:ascii="Arial" w:hAnsi="Arial" w:cs="Arial"/>
          <w:iCs/>
        </w:rPr>
        <w:t xml:space="preserve">finalmente identificando la </w:t>
      </w:r>
      <w:proofErr w:type="spellStart"/>
      <w:r w:rsidR="0099507F" w:rsidRPr="0099507F">
        <w:rPr>
          <w:rFonts w:ascii="Arial" w:hAnsi="Arial" w:cs="Arial"/>
          <w:iCs/>
        </w:rPr>
        <w:t>micobacteria</w:t>
      </w:r>
      <w:proofErr w:type="spellEnd"/>
      <w:r w:rsidR="0099507F" w:rsidRPr="0099507F">
        <w:rPr>
          <w:rFonts w:ascii="Arial" w:hAnsi="Arial" w:cs="Arial"/>
          <w:iCs/>
        </w:rPr>
        <w:t xml:space="preserve"> como un</w:t>
      </w:r>
      <w:r w:rsidR="0099507F">
        <w:rPr>
          <w:rFonts w:ascii="Calibri" w:eastAsia="Times New Roman" w:hAnsi="Calibri" w:cs="Calibri"/>
        </w:rPr>
        <w:t xml:space="preserve"> </w:t>
      </w:r>
      <w:proofErr w:type="spellStart"/>
      <w:r w:rsidRPr="001225DA">
        <w:rPr>
          <w:rFonts w:ascii="Arial" w:hAnsi="Arial" w:cs="Arial"/>
          <w:i/>
          <w:iCs/>
        </w:rPr>
        <w:t>mycobacterium</w:t>
      </w:r>
      <w:proofErr w:type="spellEnd"/>
      <w:r w:rsidRPr="001225DA">
        <w:rPr>
          <w:rFonts w:ascii="Arial" w:hAnsi="Arial" w:cs="Arial"/>
          <w:i/>
          <w:iCs/>
        </w:rPr>
        <w:t xml:space="preserve"> </w:t>
      </w:r>
      <w:proofErr w:type="spellStart"/>
      <w:r w:rsidRPr="001225DA">
        <w:rPr>
          <w:rFonts w:ascii="Arial" w:hAnsi="Arial" w:cs="Arial"/>
          <w:i/>
          <w:iCs/>
        </w:rPr>
        <w:t>abscessus</w:t>
      </w:r>
      <w:proofErr w:type="spellEnd"/>
      <w:r w:rsidRPr="001225DA">
        <w:rPr>
          <w:rFonts w:ascii="Arial" w:hAnsi="Arial" w:cs="Arial"/>
          <w:i/>
          <w:iCs/>
        </w:rPr>
        <w:t xml:space="preserve"> tipo II</w:t>
      </w:r>
      <w:r w:rsidRPr="001225DA">
        <w:rPr>
          <w:rFonts w:ascii="Arial" w:hAnsi="Arial" w:cs="Arial"/>
          <w:iCs/>
        </w:rPr>
        <w:t xml:space="preserve"> sensible a </w:t>
      </w:r>
      <w:proofErr w:type="spellStart"/>
      <w:r w:rsidRPr="001225DA">
        <w:rPr>
          <w:rFonts w:ascii="Arial" w:hAnsi="Arial" w:cs="Arial"/>
          <w:iCs/>
        </w:rPr>
        <w:t>macrólidos</w:t>
      </w:r>
      <w:proofErr w:type="spellEnd"/>
      <w:r w:rsidRPr="001225DA">
        <w:rPr>
          <w:rFonts w:ascii="Arial" w:hAnsi="Arial" w:cs="Arial"/>
          <w:iCs/>
        </w:rPr>
        <w:t xml:space="preserve"> y </w:t>
      </w:r>
      <w:proofErr w:type="spellStart"/>
      <w:r w:rsidRPr="001225DA">
        <w:rPr>
          <w:rFonts w:ascii="Arial" w:hAnsi="Arial" w:cs="Arial"/>
          <w:iCs/>
        </w:rPr>
        <w:t>amikacina</w:t>
      </w:r>
      <w:proofErr w:type="spellEnd"/>
      <w:r w:rsidRPr="001225DA">
        <w:rPr>
          <w:rFonts w:ascii="Arial" w:hAnsi="Arial" w:cs="Arial"/>
          <w:iCs/>
        </w:rPr>
        <w:t xml:space="preserve"> pero resistente al resto de fármacos testados.  Se inicia tratamiento con </w:t>
      </w:r>
      <w:proofErr w:type="spellStart"/>
      <w:r w:rsidRPr="001225DA">
        <w:rPr>
          <w:rFonts w:ascii="Arial" w:hAnsi="Arial" w:cs="Arial"/>
          <w:iCs/>
        </w:rPr>
        <w:t>amikacina</w:t>
      </w:r>
      <w:proofErr w:type="spellEnd"/>
      <w:r w:rsidRPr="001225DA">
        <w:rPr>
          <w:rFonts w:ascii="Arial" w:hAnsi="Arial" w:cs="Arial"/>
          <w:iCs/>
        </w:rPr>
        <w:t xml:space="preserve"> sistémica y nebulizada, </w:t>
      </w:r>
      <w:proofErr w:type="spellStart"/>
      <w:r w:rsidRPr="001225DA">
        <w:rPr>
          <w:rFonts w:ascii="Arial" w:hAnsi="Arial" w:cs="Arial"/>
          <w:iCs/>
        </w:rPr>
        <w:t>linezolid</w:t>
      </w:r>
      <w:proofErr w:type="spellEnd"/>
      <w:r w:rsidRPr="001225DA">
        <w:rPr>
          <w:rFonts w:ascii="Arial" w:hAnsi="Arial" w:cs="Arial"/>
          <w:iCs/>
        </w:rPr>
        <w:t xml:space="preserve">, </w:t>
      </w:r>
      <w:proofErr w:type="spellStart"/>
      <w:r w:rsidRPr="001225DA">
        <w:rPr>
          <w:rFonts w:ascii="Arial" w:hAnsi="Arial" w:cs="Arial"/>
          <w:iCs/>
        </w:rPr>
        <w:t>moxifloxacino</w:t>
      </w:r>
      <w:proofErr w:type="spellEnd"/>
      <w:r w:rsidRPr="001225DA">
        <w:rPr>
          <w:rFonts w:ascii="Arial" w:hAnsi="Arial" w:cs="Arial"/>
          <w:iCs/>
        </w:rPr>
        <w:t xml:space="preserve"> y </w:t>
      </w:r>
      <w:proofErr w:type="spellStart"/>
      <w:r w:rsidRPr="001225DA">
        <w:rPr>
          <w:rFonts w:ascii="Arial" w:hAnsi="Arial" w:cs="Arial"/>
          <w:iCs/>
        </w:rPr>
        <w:t>azitromicina</w:t>
      </w:r>
      <w:proofErr w:type="spellEnd"/>
      <w:r w:rsidRPr="001225DA">
        <w:rPr>
          <w:rFonts w:ascii="Arial" w:hAnsi="Arial" w:cs="Arial"/>
          <w:iCs/>
        </w:rPr>
        <w:t xml:space="preserve"> tras el cual la paciente refiere mejoría clínica sin efectos adversos medicamentosos.</w:t>
      </w:r>
    </w:p>
    <w:p w14:paraId="47F56CFD" w14:textId="2DF1CF15" w:rsidR="00CC6FFC" w:rsidRPr="001225DA" w:rsidRDefault="00CC6FFC" w:rsidP="001225DA">
      <w:pPr>
        <w:spacing w:line="240" w:lineRule="auto"/>
        <w:jc w:val="both"/>
        <w:rPr>
          <w:rFonts w:ascii="Arial" w:hAnsi="Arial" w:cs="Arial"/>
          <w:iCs/>
        </w:rPr>
      </w:pPr>
      <w:r w:rsidRPr="001225DA">
        <w:rPr>
          <w:rFonts w:ascii="Arial" w:hAnsi="Arial" w:cs="Arial"/>
          <w:iCs/>
        </w:rPr>
        <w:lastRenderedPageBreak/>
        <w:t xml:space="preserve">Presentamos a una paciente joven, completamente asintomática hasta la fecha, con infección consecutiva por </w:t>
      </w:r>
      <w:proofErr w:type="spellStart"/>
      <w:r w:rsidRPr="001225DA">
        <w:rPr>
          <w:rFonts w:ascii="Arial" w:hAnsi="Arial" w:cs="Arial"/>
          <w:iCs/>
        </w:rPr>
        <w:t>micobacterias</w:t>
      </w:r>
      <w:proofErr w:type="spellEnd"/>
      <w:r w:rsidRPr="001225DA">
        <w:rPr>
          <w:rFonts w:ascii="Arial" w:hAnsi="Arial" w:cs="Arial"/>
          <w:iCs/>
        </w:rPr>
        <w:t xml:space="preserve"> no tuberculosas (MNT) sin patología respiratoria previa ni deficiencia del sistema inmunológico. Con la sospecha de una probable susceptibilidad genética se plantea como posibilidad diagnóstica la existencia de una Fibrosis Quística (FQ), a pesar de que no presenta </w:t>
      </w:r>
      <w:r w:rsidR="004C7D0A">
        <w:rPr>
          <w:rFonts w:ascii="Arial" w:hAnsi="Arial" w:cs="Arial"/>
          <w:iCs/>
        </w:rPr>
        <w:t xml:space="preserve">la </w:t>
      </w:r>
      <w:r w:rsidRPr="001225DA">
        <w:rPr>
          <w:rFonts w:ascii="Arial" w:hAnsi="Arial" w:cs="Arial"/>
          <w:iCs/>
        </w:rPr>
        <w:t xml:space="preserve">afectación pulmonar </w:t>
      </w:r>
      <w:r w:rsidR="004C7D0A">
        <w:rPr>
          <w:rFonts w:ascii="Arial" w:hAnsi="Arial" w:cs="Arial"/>
          <w:iCs/>
        </w:rPr>
        <w:t xml:space="preserve">más </w:t>
      </w:r>
      <w:r w:rsidRPr="001225DA">
        <w:rPr>
          <w:rFonts w:ascii="Arial" w:hAnsi="Arial" w:cs="Arial"/>
          <w:iCs/>
        </w:rPr>
        <w:t xml:space="preserve">característica de esta enfermedad, como son las bronquiectasias. Se solicita test del sudor con resultado positivo (medición </w:t>
      </w:r>
      <w:proofErr w:type="spellStart"/>
      <w:r w:rsidRPr="001225DA">
        <w:rPr>
          <w:rFonts w:ascii="Arial" w:hAnsi="Arial" w:cs="Arial"/>
          <w:iCs/>
        </w:rPr>
        <w:t>cloridometría</w:t>
      </w:r>
      <w:proofErr w:type="spellEnd"/>
      <w:r w:rsidRPr="001225DA">
        <w:rPr>
          <w:rFonts w:ascii="Arial" w:hAnsi="Arial" w:cs="Arial"/>
          <w:iCs/>
        </w:rPr>
        <w:t xml:space="preserve"> de 72 </w:t>
      </w:r>
      <w:proofErr w:type="spellStart"/>
      <w:r w:rsidRPr="001225DA">
        <w:rPr>
          <w:rFonts w:ascii="Arial" w:hAnsi="Arial" w:cs="Arial"/>
          <w:iCs/>
        </w:rPr>
        <w:t>mmol</w:t>
      </w:r>
      <w:proofErr w:type="spellEnd"/>
      <w:r w:rsidRPr="001225DA">
        <w:rPr>
          <w:rFonts w:ascii="Arial" w:hAnsi="Arial" w:cs="Arial"/>
          <w:iCs/>
        </w:rPr>
        <w:t xml:space="preserve">/L). Se solicita estudio genético en nuestro hospital que demuestra una mutación </w:t>
      </w:r>
      <w:proofErr w:type="spellStart"/>
      <w:r w:rsidRPr="001225DA">
        <w:rPr>
          <w:rFonts w:ascii="Arial" w:hAnsi="Arial" w:cs="Arial"/>
          <w:iCs/>
        </w:rPr>
        <w:t>het</w:t>
      </w:r>
      <w:r w:rsidR="001A1963" w:rsidRPr="001225DA">
        <w:rPr>
          <w:rFonts w:ascii="Arial" w:hAnsi="Arial" w:cs="Arial"/>
          <w:iCs/>
        </w:rPr>
        <w:t>e</w:t>
      </w:r>
      <w:r w:rsidRPr="001225DA">
        <w:rPr>
          <w:rFonts w:ascii="Arial" w:hAnsi="Arial" w:cs="Arial"/>
          <w:iCs/>
        </w:rPr>
        <w:t>rocigota</w:t>
      </w:r>
      <w:proofErr w:type="spellEnd"/>
      <w:r w:rsidRPr="001225DA">
        <w:rPr>
          <w:rFonts w:ascii="Arial" w:hAnsi="Arial" w:cs="Arial"/>
          <w:iCs/>
        </w:rPr>
        <w:t xml:space="preserve"> para F508del, por lo que se considera tan sólo portadora. Dada la alta sospecha clínica de FQ se envía la muestra a un laboratorio de referencia en Valencia para la secuenciación completa del genoma y se identifica otra mutación adicional menos frecuente: V232D. Por </w:t>
      </w:r>
      <w:r w:rsidR="004C7D0A" w:rsidRPr="001225DA">
        <w:rPr>
          <w:rFonts w:ascii="Arial" w:hAnsi="Arial" w:cs="Arial"/>
          <w:iCs/>
        </w:rPr>
        <w:t>tanto,</w:t>
      </w:r>
      <w:r w:rsidRPr="001225DA">
        <w:rPr>
          <w:rFonts w:ascii="Arial" w:hAnsi="Arial" w:cs="Arial"/>
          <w:iCs/>
        </w:rPr>
        <w:t xml:space="preserve"> la paciente se diagnostica de FQ. Las pruebas de función respiratoria completas y la valoración por parte del Servicio de Digestivo fueron rigurosamente normales.</w:t>
      </w:r>
    </w:p>
    <w:p w14:paraId="4978E03E" w14:textId="22BE352A" w:rsidR="00CC6FFC" w:rsidRPr="001225DA" w:rsidRDefault="00CC6FFC" w:rsidP="001225DA">
      <w:pPr>
        <w:spacing w:line="240" w:lineRule="auto"/>
        <w:jc w:val="both"/>
        <w:rPr>
          <w:rFonts w:ascii="Arial" w:hAnsi="Arial" w:cs="Arial"/>
          <w:iCs/>
        </w:rPr>
      </w:pPr>
      <w:r w:rsidRPr="001225DA">
        <w:rPr>
          <w:rFonts w:ascii="Arial" w:hAnsi="Arial" w:cs="Arial"/>
          <w:iCs/>
        </w:rPr>
        <w:t xml:space="preserve">La FQ es la enfermedad genética autosómica recesiva que se produce como consecuencia de una alteración del gen </w:t>
      </w:r>
      <w:proofErr w:type="spellStart"/>
      <w:r w:rsidRPr="001225DA">
        <w:rPr>
          <w:rFonts w:ascii="Arial" w:hAnsi="Arial" w:cs="Arial"/>
          <w:i/>
        </w:rPr>
        <w:t>cystic</w:t>
      </w:r>
      <w:proofErr w:type="spellEnd"/>
      <w:r w:rsidRPr="001225DA">
        <w:rPr>
          <w:rFonts w:ascii="Arial" w:hAnsi="Arial" w:cs="Arial"/>
          <w:i/>
        </w:rPr>
        <w:t xml:space="preserve"> fibrosis </w:t>
      </w:r>
      <w:proofErr w:type="spellStart"/>
      <w:r w:rsidRPr="001225DA">
        <w:rPr>
          <w:rFonts w:ascii="Arial" w:hAnsi="Arial" w:cs="Arial"/>
          <w:i/>
        </w:rPr>
        <w:t>transmembrane</w:t>
      </w:r>
      <w:proofErr w:type="spellEnd"/>
      <w:r w:rsidRPr="001225DA">
        <w:rPr>
          <w:rFonts w:ascii="Arial" w:hAnsi="Arial" w:cs="Arial"/>
          <w:i/>
        </w:rPr>
        <w:t xml:space="preserve"> </w:t>
      </w:r>
      <w:proofErr w:type="spellStart"/>
      <w:r w:rsidRPr="001225DA">
        <w:rPr>
          <w:rFonts w:ascii="Arial" w:hAnsi="Arial" w:cs="Arial"/>
          <w:i/>
        </w:rPr>
        <w:t>conductance</w:t>
      </w:r>
      <w:proofErr w:type="spellEnd"/>
      <w:r w:rsidRPr="001225DA">
        <w:rPr>
          <w:rFonts w:ascii="Arial" w:hAnsi="Arial" w:cs="Arial"/>
          <w:i/>
        </w:rPr>
        <w:t xml:space="preserve"> </w:t>
      </w:r>
      <w:proofErr w:type="spellStart"/>
      <w:r w:rsidRPr="001225DA">
        <w:rPr>
          <w:rFonts w:ascii="Arial" w:hAnsi="Arial" w:cs="Arial"/>
          <w:i/>
        </w:rPr>
        <w:t>regulator</w:t>
      </w:r>
      <w:proofErr w:type="spellEnd"/>
      <w:r w:rsidRPr="001225DA">
        <w:rPr>
          <w:rFonts w:ascii="Arial" w:hAnsi="Arial" w:cs="Arial"/>
          <w:iCs/>
        </w:rPr>
        <w:t xml:space="preserve"> (CFTR) que conlleva a la disfunción de las glándulas exocrinas. </w:t>
      </w:r>
      <w:r w:rsidR="008874B0" w:rsidRPr="001225DA">
        <w:rPr>
          <w:rFonts w:ascii="Arial" w:hAnsi="Arial" w:cs="Arial"/>
          <w:iCs/>
        </w:rPr>
        <w:t xml:space="preserve">La presencia de 2 mutaciones es necesaria para desarrollar la enfermedad. La frecuencia de portadores en la población general es de 1 de cada 25 individuos. Esta </w:t>
      </w:r>
      <w:r w:rsidR="00FF23D5" w:rsidRPr="001225DA">
        <w:rPr>
          <w:rFonts w:ascii="Arial" w:hAnsi="Arial" w:cs="Arial"/>
          <w:iCs/>
        </w:rPr>
        <w:t>enfermedad provoca</w:t>
      </w:r>
      <w:r w:rsidRPr="001225DA">
        <w:rPr>
          <w:rFonts w:ascii="Arial" w:hAnsi="Arial" w:cs="Arial"/>
          <w:iCs/>
        </w:rPr>
        <w:t xml:space="preserve"> una alta concentración de cloruro en el sudor y la formación de moco anormalmente viscoso en el tracto respiratorio, digestivo y reproductor </w:t>
      </w:r>
      <w:r w:rsidRPr="001225DA">
        <w:rPr>
          <w:rFonts w:ascii="Arial" w:hAnsi="Arial" w:cs="Arial"/>
          <w:iCs/>
          <w:vertAlign w:val="superscript"/>
        </w:rPr>
        <w:t>(1)</w:t>
      </w:r>
      <w:r w:rsidR="00FF23D5">
        <w:rPr>
          <w:rFonts w:ascii="Arial" w:hAnsi="Arial" w:cs="Arial"/>
          <w:iCs/>
        </w:rPr>
        <w:t>, favoreciendo</w:t>
      </w:r>
      <w:r w:rsidR="008874B0" w:rsidRPr="001225DA">
        <w:rPr>
          <w:rFonts w:ascii="Arial" w:hAnsi="Arial" w:cs="Arial"/>
          <w:iCs/>
        </w:rPr>
        <w:t xml:space="preserve"> la colonización e infecciones respiratorias, bronquiectasias, </w:t>
      </w:r>
      <w:proofErr w:type="spellStart"/>
      <w:r w:rsidR="008874B0" w:rsidRPr="001225DA">
        <w:rPr>
          <w:rFonts w:ascii="Arial" w:hAnsi="Arial" w:cs="Arial"/>
          <w:iCs/>
        </w:rPr>
        <w:t>rinosinusitis</w:t>
      </w:r>
      <w:proofErr w:type="spellEnd"/>
      <w:r w:rsidR="008874B0" w:rsidRPr="001225DA">
        <w:rPr>
          <w:rFonts w:ascii="Arial" w:hAnsi="Arial" w:cs="Arial"/>
          <w:iCs/>
        </w:rPr>
        <w:t xml:space="preserve"> crónica</w:t>
      </w:r>
      <w:r w:rsidR="00FF23D5">
        <w:rPr>
          <w:rFonts w:ascii="Arial" w:hAnsi="Arial" w:cs="Arial"/>
          <w:iCs/>
        </w:rPr>
        <w:t xml:space="preserve">, etc. </w:t>
      </w:r>
      <w:r w:rsidR="008874B0" w:rsidRPr="001225DA">
        <w:rPr>
          <w:rFonts w:ascii="Arial" w:hAnsi="Arial" w:cs="Arial"/>
          <w:iCs/>
        </w:rPr>
        <w:t>La prevalencia</w:t>
      </w:r>
      <w:r w:rsidRPr="001225DA">
        <w:rPr>
          <w:rFonts w:ascii="Arial" w:hAnsi="Arial" w:cs="Arial"/>
          <w:iCs/>
        </w:rPr>
        <w:t xml:space="preserve"> de FQ en la población adulta se estima en torno al 14%</w:t>
      </w:r>
      <w:r w:rsidRPr="001225DA">
        <w:rPr>
          <w:rFonts w:ascii="Arial" w:hAnsi="Arial" w:cs="Arial"/>
          <w:iCs/>
          <w:vertAlign w:val="superscript"/>
        </w:rPr>
        <w:t>(2)</w:t>
      </w:r>
      <w:r w:rsidRPr="001225DA">
        <w:rPr>
          <w:rFonts w:ascii="Arial" w:hAnsi="Arial" w:cs="Arial"/>
          <w:iCs/>
        </w:rPr>
        <w:t xml:space="preserve">. El test del sudor suele estar en el límite de la normalidad, y para el diagnóstico se requieren al menos 2 mutaciones causantes de FQ o demostrar la disfunción del gen CFTR a través de la diferencia de potencial nasal </w:t>
      </w:r>
      <w:r w:rsidRPr="001225DA">
        <w:rPr>
          <w:rFonts w:ascii="Arial" w:hAnsi="Arial" w:cs="Arial"/>
          <w:iCs/>
          <w:vertAlign w:val="superscript"/>
        </w:rPr>
        <w:t>(3)</w:t>
      </w:r>
      <w:r w:rsidRPr="001225DA">
        <w:rPr>
          <w:rFonts w:ascii="Arial" w:hAnsi="Arial" w:cs="Arial"/>
          <w:iCs/>
        </w:rPr>
        <w:t xml:space="preserve">. Clínicamente estos pacientes suelen tener pocos síntomas, en probable relación a la conservación de cierta actividad del canal de cloro, y varían según la gravedad de la </w:t>
      </w:r>
      <w:r w:rsidR="00FF23D5" w:rsidRPr="001225DA">
        <w:rPr>
          <w:rFonts w:ascii="Arial" w:hAnsi="Arial" w:cs="Arial"/>
          <w:iCs/>
        </w:rPr>
        <w:t>mutación</w:t>
      </w:r>
      <w:r w:rsidR="00FF23D5" w:rsidRPr="001225DA">
        <w:rPr>
          <w:rFonts w:ascii="Arial" w:hAnsi="Arial" w:cs="Arial"/>
          <w:iCs/>
          <w:vertAlign w:val="superscript"/>
        </w:rPr>
        <w:t xml:space="preserve"> (</w:t>
      </w:r>
      <w:r w:rsidRPr="001225DA">
        <w:rPr>
          <w:rFonts w:ascii="Arial" w:hAnsi="Arial" w:cs="Arial"/>
          <w:iCs/>
          <w:vertAlign w:val="superscript"/>
        </w:rPr>
        <w:t>4)</w:t>
      </w:r>
      <w:r w:rsidRPr="001225DA">
        <w:rPr>
          <w:rFonts w:ascii="Arial" w:hAnsi="Arial" w:cs="Arial"/>
          <w:iCs/>
        </w:rPr>
        <w:t>. En el caso de nuestra paciente, presenta la mutación más frecuente (F508del) pero de carácter heterocigoto y la otra es una mutación “leve” (V232D), es decir, que se asocia con la aparición de pocos síntomas, motivo por el cual explicamos la presentación tardía de la enfermedad.</w:t>
      </w:r>
    </w:p>
    <w:p w14:paraId="3D3F7D8B" w14:textId="691E2CDB" w:rsidR="00CC6FFC" w:rsidRPr="001225DA" w:rsidRDefault="00EA2369" w:rsidP="001225DA">
      <w:pPr>
        <w:spacing w:line="240" w:lineRule="auto"/>
        <w:jc w:val="both"/>
        <w:rPr>
          <w:rFonts w:ascii="Arial" w:hAnsi="Arial" w:cs="Arial"/>
          <w:iCs/>
        </w:rPr>
      </w:pPr>
      <w:r w:rsidRPr="001225DA">
        <w:rPr>
          <w:rFonts w:ascii="Arial" w:hAnsi="Arial" w:cs="Arial"/>
          <w:iCs/>
        </w:rPr>
        <w:t xml:space="preserve">Las </w:t>
      </w:r>
      <w:r w:rsidR="00CC6FFC" w:rsidRPr="001225DA">
        <w:rPr>
          <w:rFonts w:ascii="Arial" w:hAnsi="Arial" w:cs="Arial"/>
          <w:iCs/>
        </w:rPr>
        <w:t xml:space="preserve">MNT </w:t>
      </w:r>
      <w:r w:rsidRPr="001225DA">
        <w:rPr>
          <w:rFonts w:ascii="Arial" w:hAnsi="Arial" w:cs="Arial"/>
          <w:iCs/>
        </w:rPr>
        <w:t xml:space="preserve">se están aislando cada vez más en </w:t>
      </w:r>
      <w:r w:rsidR="00022B1E" w:rsidRPr="001225DA">
        <w:rPr>
          <w:rFonts w:ascii="Arial" w:hAnsi="Arial" w:cs="Arial"/>
          <w:iCs/>
        </w:rPr>
        <w:t xml:space="preserve">el esputo de </w:t>
      </w:r>
      <w:r w:rsidRPr="001225DA">
        <w:rPr>
          <w:rFonts w:ascii="Arial" w:hAnsi="Arial" w:cs="Arial"/>
          <w:iCs/>
        </w:rPr>
        <w:t>personas con FQ</w:t>
      </w:r>
      <w:r w:rsidR="00022B1E" w:rsidRPr="001225DA">
        <w:rPr>
          <w:rFonts w:ascii="Arial" w:hAnsi="Arial" w:cs="Arial"/>
          <w:iCs/>
        </w:rPr>
        <w:t>. La estimación de la prevalencia de MNT en este grupo de personas está en torno al 12</w:t>
      </w:r>
      <w:r w:rsidR="00CC6FFC" w:rsidRPr="001225DA">
        <w:rPr>
          <w:rFonts w:ascii="Arial" w:hAnsi="Arial" w:cs="Arial"/>
          <w:iCs/>
        </w:rPr>
        <w:t xml:space="preserve">%. En los pacientes con FQ la infección con </w:t>
      </w:r>
      <w:proofErr w:type="spellStart"/>
      <w:r w:rsidR="00CC6FFC" w:rsidRPr="001225DA">
        <w:rPr>
          <w:rFonts w:ascii="Arial" w:hAnsi="Arial" w:cs="Arial"/>
          <w:i/>
          <w:iCs/>
        </w:rPr>
        <w:t>mycobacterium</w:t>
      </w:r>
      <w:proofErr w:type="spellEnd"/>
      <w:r w:rsidR="00CC6FFC" w:rsidRPr="001225DA">
        <w:rPr>
          <w:rFonts w:ascii="Arial" w:hAnsi="Arial" w:cs="Arial"/>
          <w:i/>
          <w:iCs/>
        </w:rPr>
        <w:t xml:space="preserve"> </w:t>
      </w:r>
      <w:proofErr w:type="spellStart"/>
      <w:r w:rsidR="00CC6FFC" w:rsidRPr="001225DA">
        <w:rPr>
          <w:rFonts w:ascii="Arial" w:hAnsi="Arial" w:cs="Arial"/>
          <w:i/>
          <w:iCs/>
        </w:rPr>
        <w:t>abscessus</w:t>
      </w:r>
      <w:proofErr w:type="spellEnd"/>
      <w:r w:rsidR="00CC6FFC" w:rsidRPr="001225DA">
        <w:rPr>
          <w:rFonts w:ascii="Arial" w:hAnsi="Arial" w:cs="Arial"/>
          <w:iCs/>
        </w:rPr>
        <w:t xml:space="preserve"> es especialmente peligrosa, ya que es difícil la erradicación, acelera el daño sobre los pulmones, interfiere con el éxito de los trasplantes y puede llegar a causar la muerte. Actualmente, y tras un año de tratamiento, aún persiste el aislamiento de </w:t>
      </w:r>
      <w:proofErr w:type="spellStart"/>
      <w:r w:rsidR="00CC6FFC" w:rsidRPr="001225DA">
        <w:rPr>
          <w:rFonts w:ascii="Arial" w:hAnsi="Arial" w:cs="Arial"/>
          <w:i/>
          <w:iCs/>
        </w:rPr>
        <w:t>mycobacterium</w:t>
      </w:r>
      <w:proofErr w:type="spellEnd"/>
      <w:r w:rsidR="00CC6FFC" w:rsidRPr="001225DA">
        <w:rPr>
          <w:rFonts w:ascii="Arial" w:hAnsi="Arial" w:cs="Arial"/>
          <w:i/>
          <w:iCs/>
        </w:rPr>
        <w:t xml:space="preserve"> </w:t>
      </w:r>
      <w:proofErr w:type="spellStart"/>
      <w:r w:rsidR="00CC6FFC" w:rsidRPr="001225DA">
        <w:rPr>
          <w:rFonts w:ascii="Arial" w:hAnsi="Arial" w:cs="Arial"/>
          <w:i/>
          <w:iCs/>
        </w:rPr>
        <w:t>abscessus</w:t>
      </w:r>
      <w:proofErr w:type="spellEnd"/>
      <w:r w:rsidR="00CC6FFC" w:rsidRPr="001225DA">
        <w:rPr>
          <w:rFonts w:ascii="Arial" w:hAnsi="Arial" w:cs="Arial"/>
          <w:i/>
          <w:iCs/>
        </w:rPr>
        <w:t xml:space="preserve">, lo que es un </w:t>
      </w:r>
      <w:r w:rsidR="00CC6FFC" w:rsidRPr="001225DA">
        <w:rPr>
          <w:rFonts w:ascii="Arial" w:hAnsi="Arial" w:cs="Arial"/>
          <w:iCs/>
        </w:rPr>
        <w:t xml:space="preserve">factor de mal pronóstico para la evolución de su enfermedad e indicativo de la alta tasa de fracaso terapéutico </w:t>
      </w:r>
      <w:r w:rsidR="00CC6FFC" w:rsidRPr="001225DA">
        <w:rPr>
          <w:rFonts w:ascii="Arial" w:hAnsi="Arial" w:cs="Arial"/>
          <w:iCs/>
          <w:vertAlign w:val="superscript"/>
        </w:rPr>
        <w:t>(5)</w:t>
      </w:r>
      <w:r w:rsidR="00CC6FFC" w:rsidRPr="001225DA">
        <w:rPr>
          <w:rFonts w:ascii="Arial" w:hAnsi="Arial" w:cs="Arial"/>
          <w:iCs/>
        </w:rPr>
        <w:t xml:space="preserve">. Se desconoce la duración óptima de la terapia dada la alta tasa de recurrencia y fracaso terapéutico, aun </w:t>
      </w:r>
      <w:r w:rsidR="004C7D0A" w:rsidRPr="001225DA">
        <w:rPr>
          <w:rFonts w:ascii="Arial" w:hAnsi="Arial" w:cs="Arial"/>
          <w:iCs/>
        </w:rPr>
        <w:t>así</w:t>
      </w:r>
      <w:r w:rsidR="00CC6FFC" w:rsidRPr="001225DA">
        <w:rPr>
          <w:rFonts w:ascii="Arial" w:hAnsi="Arial" w:cs="Arial"/>
          <w:iCs/>
        </w:rPr>
        <w:t xml:space="preserve"> muchos pacientes pueden beneficiarse de continuar con el tratamiento a pesar de no haber </w:t>
      </w:r>
      <w:proofErr w:type="spellStart"/>
      <w:r w:rsidR="00CC6FFC" w:rsidRPr="001225DA">
        <w:rPr>
          <w:rFonts w:ascii="Arial" w:hAnsi="Arial" w:cs="Arial"/>
          <w:iCs/>
        </w:rPr>
        <w:t>negativizado</w:t>
      </w:r>
      <w:proofErr w:type="spellEnd"/>
      <w:r w:rsidR="00CC6FFC" w:rsidRPr="001225DA">
        <w:rPr>
          <w:rFonts w:ascii="Arial" w:hAnsi="Arial" w:cs="Arial"/>
          <w:iCs/>
        </w:rPr>
        <w:t xml:space="preserve"> el </w:t>
      </w:r>
      <w:r w:rsidR="00022B1E" w:rsidRPr="001225DA">
        <w:rPr>
          <w:rFonts w:ascii="Arial" w:hAnsi="Arial" w:cs="Arial"/>
          <w:iCs/>
        </w:rPr>
        <w:t>cultivo</w:t>
      </w:r>
      <w:r w:rsidR="00022B1E" w:rsidRPr="001225DA">
        <w:rPr>
          <w:rFonts w:ascii="Arial" w:hAnsi="Arial" w:cs="Arial"/>
          <w:iCs/>
          <w:vertAlign w:val="superscript"/>
        </w:rPr>
        <w:t xml:space="preserve"> (5)</w:t>
      </w:r>
      <w:r w:rsidR="00CC6FFC" w:rsidRPr="001225DA">
        <w:rPr>
          <w:rFonts w:ascii="Arial" w:hAnsi="Arial" w:cs="Arial"/>
          <w:iCs/>
        </w:rPr>
        <w:t>. Esta es la actitud que hemos decidido tomar con la paciente.</w:t>
      </w:r>
    </w:p>
    <w:p w14:paraId="47C0213A" w14:textId="77777777" w:rsidR="00CC6FFC" w:rsidRPr="001225DA" w:rsidRDefault="00CC6FFC" w:rsidP="007A4890">
      <w:pPr>
        <w:spacing w:line="240" w:lineRule="auto"/>
        <w:jc w:val="center"/>
        <w:rPr>
          <w:rFonts w:ascii="Arial" w:hAnsi="Arial" w:cs="Arial"/>
          <w:iCs/>
        </w:rPr>
      </w:pPr>
      <w:r w:rsidRPr="001225DA">
        <w:rPr>
          <w:rFonts w:ascii="Arial" w:hAnsi="Arial" w:cs="Arial"/>
          <w:iCs/>
        </w:rPr>
        <w:t>Bibliografía</w:t>
      </w:r>
    </w:p>
    <w:p w14:paraId="30C77ED8" w14:textId="77777777" w:rsidR="00CC6FFC" w:rsidRDefault="00CC6FFC" w:rsidP="001225DA">
      <w:pPr>
        <w:pStyle w:val="Prrafodelista"/>
        <w:numPr>
          <w:ilvl w:val="0"/>
          <w:numId w:val="1"/>
        </w:numPr>
        <w:spacing w:line="240" w:lineRule="auto"/>
        <w:jc w:val="both"/>
        <w:rPr>
          <w:rFonts w:ascii="Arial" w:hAnsi="Arial" w:cs="Arial"/>
          <w:iCs/>
        </w:rPr>
      </w:pPr>
      <w:proofErr w:type="spellStart"/>
      <w:r w:rsidRPr="001225DA">
        <w:rPr>
          <w:rFonts w:ascii="Arial" w:hAnsi="Arial" w:cs="Arial"/>
          <w:iCs/>
          <w:lang w:val="en-US"/>
        </w:rPr>
        <w:t>Elborn</w:t>
      </w:r>
      <w:proofErr w:type="spellEnd"/>
      <w:r w:rsidRPr="001225DA">
        <w:rPr>
          <w:rFonts w:ascii="Arial" w:hAnsi="Arial" w:cs="Arial"/>
          <w:iCs/>
          <w:lang w:val="en-US"/>
        </w:rPr>
        <w:t xml:space="preserve"> JS. Cystic fibrosis. Lancet. </w:t>
      </w:r>
      <w:r w:rsidRPr="001225DA">
        <w:rPr>
          <w:rFonts w:ascii="Arial" w:hAnsi="Arial" w:cs="Arial"/>
          <w:iCs/>
        </w:rPr>
        <w:t>2016; 388(10059):2519-31.</w:t>
      </w:r>
    </w:p>
    <w:p w14:paraId="7059F6F6" w14:textId="77777777" w:rsidR="00CC6FFC" w:rsidRPr="0099507F" w:rsidRDefault="00CC6FFC" w:rsidP="001225DA">
      <w:pPr>
        <w:pStyle w:val="Prrafodelista"/>
        <w:numPr>
          <w:ilvl w:val="0"/>
          <w:numId w:val="1"/>
        </w:numPr>
        <w:spacing w:line="240" w:lineRule="auto"/>
        <w:jc w:val="both"/>
        <w:rPr>
          <w:rFonts w:ascii="Arial" w:hAnsi="Arial" w:cs="Arial"/>
          <w:iCs/>
          <w:lang w:val="en-US"/>
        </w:rPr>
      </w:pPr>
      <w:proofErr w:type="spellStart"/>
      <w:r w:rsidRPr="001225DA">
        <w:rPr>
          <w:rFonts w:ascii="Arial" w:hAnsi="Arial" w:cs="Arial"/>
          <w:iCs/>
        </w:rPr>
        <w:t>Lerin</w:t>
      </w:r>
      <w:proofErr w:type="spellEnd"/>
      <w:r w:rsidRPr="001225DA">
        <w:rPr>
          <w:rFonts w:ascii="Arial" w:hAnsi="Arial" w:cs="Arial"/>
          <w:iCs/>
        </w:rPr>
        <w:t xml:space="preserve"> M, Prados C, Martinez MT, </w:t>
      </w:r>
      <w:proofErr w:type="spellStart"/>
      <w:r w:rsidRPr="001225DA">
        <w:rPr>
          <w:rFonts w:ascii="Arial" w:hAnsi="Arial" w:cs="Arial"/>
          <w:iCs/>
        </w:rPr>
        <w:t>Maiz</w:t>
      </w:r>
      <w:proofErr w:type="spellEnd"/>
      <w:r w:rsidRPr="001225DA">
        <w:rPr>
          <w:rFonts w:ascii="Arial" w:hAnsi="Arial" w:cs="Arial"/>
          <w:iCs/>
        </w:rPr>
        <w:t xml:space="preserve"> L, </w:t>
      </w:r>
      <w:proofErr w:type="spellStart"/>
      <w:r w:rsidRPr="001225DA">
        <w:rPr>
          <w:rFonts w:ascii="Arial" w:hAnsi="Arial" w:cs="Arial"/>
          <w:iCs/>
        </w:rPr>
        <w:t>Giron</w:t>
      </w:r>
      <w:proofErr w:type="spellEnd"/>
      <w:r w:rsidRPr="001225DA">
        <w:rPr>
          <w:rFonts w:ascii="Arial" w:hAnsi="Arial" w:cs="Arial"/>
          <w:iCs/>
        </w:rPr>
        <w:t xml:space="preserve"> R, </w:t>
      </w:r>
      <w:proofErr w:type="spellStart"/>
      <w:r w:rsidRPr="001225DA">
        <w:rPr>
          <w:rFonts w:ascii="Arial" w:hAnsi="Arial" w:cs="Arial"/>
          <w:iCs/>
        </w:rPr>
        <w:t>Sole</w:t>
      </w:r>
      <w:proofErr w:type="spellEnd"/>
      <w:r w:rsidRPr="001225DA">
        <w:rPr>
          <w:rFonts w:ascii="Arial" w:hAnsi="Arial" w:cs="Arial"/>
          <w:iCs/>
        </w:rPr>
        <w:t xml:space="preserve"> A, et al. </w:t>
      </w:r>
      <w:r w:rsidRPr="001225DA">
        <w:rPr>
          <w:rFonts w:ascii="Arial" w:hAnsi="Arial" w:cs="Arial"/>
          <w:iCs/>
          <w:lang w:val="en-US"/>
        </w:rPr>
        <w:t xml:space="preserve">Cystic fibrosis in adult age. </w:t>
      </w:r>
      <w:r w:rsidRPr="0099507F">
        <w:rPr>
          <w:rFonts w:ascii="Arial" w:hAnsi="Arial" w:cs="Arial"/>
          <w:iCs/>
          <w:lang w:val="en-US"/>
        </w:rPr>
        <w:t xml:space="preserve">Rev </w:t>
      </w:r>
      <w:proofErr w:type="spellStart"/>
      <w:r w:rsidRPr="0099507F">
        <w:rPr>
          <w:rFonts w:ascii="Arial" w:hAnsi="Arial" w:cs="Arial"/>
          <w:iCs/>
          <w:lang w:val="en-US"/>
        </w:rPr>
        <w:t>Clin</w:t>
      </w:r>
      <w:proofErr w:type="spellEnd"/>
      <w:r w:rsidRPr="0099507F">
        <w:rPr>
          <w:rFonts w:ascii="Arial" w:hAnsi="Arial" w:cs="Arial"/>
          <w:iCs/>
          <w:lang w:val="en-US"/>
        </w:rPr>
        <w:t xml:space="preserve"> Esp. 2014; 214(6):289-95.</w:t>
      </w:r>
    </w:p>
    <w:p w14:paraId="46643B0C" w14:textId="5D92A810" w:rsidR="00CC6FFC" w:rsidRPr="0099507F" w:rsidRDefault="00F61801" w:rsidP="001225DA">
      <w:pPr>
        <w:pStyle w:val="Prrafodelista"/>
        <w:numPr>
          <w:ilvl w:val="0"/>
          <w:numId w:val="1"/>
        </w:numPr>
        <w:spacing w:after="0" w:line="240" w:lineRule="auto"/>
        <w:jc w:val="both"/>
        <w:rPr>
          <w:rFonts w:ascii="Arial" w:hAnsi="Arial" w:cs="Arial"/>
          <w:iCs/>
          <w:lang w:val="en-US"/>
        </w:rPr>
      </w:pPr>
      <w:r w:rsidRPr="004C7D0A">
        <w:rPr>
          <w:rFonts w:ascii="Arial" w:hAnsi="Arial" w:cs="Arial"/>
          <w:iCs/>
          <w:lang w:val="en-US"/>
        </w:rPr>
        <w:t xml:space="preserve">Farrell PM, White TB, Ren CL, Hempstead SE, </w:t>
      </w:r>
      <w:proofErr w:type="spellStart"/>
      <w:r w:rsidRPr="004C7D0A">
        <w:rPr>
          <w:rFonts w:ascii="Arial" w:hAnsi="Arial" w:cs="Arial"/>
          <w:iCs/>
          <w:lang w:val="en-US"/>
        </w:rPr>
        <w:t>Accurso</w:t>
      </w:r>
      <w:proofErr w:type="spellEnd"/>
      <w:r w:rsidRPr="004C7D0A">
        <w:rPr>
          <w:rFonts w:ascii="Arial" w:hAnsi="Arial" w:cs="Arial"/>
          <w:iCs/>
          <w:lang w:val="en-US"/>
        </w:rPr>
        <w:t xml:space="preserve"> F, </w:t>
      </w:r>
      <w:proofErr w:type="spellStart"/>
      <w:r w:rsidRPr="004C7D0A">
        <w:rPr>
          <w:rFonts w:ascii="Arial" w:hAnsi="Arial" w:cs="Arial"/>
          <w:iCs/>
          <w:lang w:val="en-US"/>
        </w:rPr>
        <w:t>Derichs</w:t>
      </w:r>
      <w:proofErr w:type="spellEnd"/>
      <w:r w:rsidRPr="004C7D0A">
        <w:rPr>
          <w:rFonts w:ascii="Arial" w:hAnsi="Arial" w:cs="Arial"/>
          <w:iCs/>
          <w:lang w:val="en-US"/>
        </w:rPr>
        <w:t xml:space="preserve"> N, et al</w:t>
      </w:r>
      <w:r w:rsidR="00CC6FFC" w:rsidRPr="004C7D0A">
        <w:rPr>
          <w:rFonts w:ascii="Arial" w:hAnsi="Arial" w:cs="Arial"/>
          <w:iCs/>
          <w:lang w:val="en-US"/>
        </w:rPr>
        <w:t xml:space="preserve">. </w:t>
      </w:r>
      <w:r w:rsidR="00CC6FFC" w:rsidRPr="0099507F">
        <w:rPr>
          <w:rFonts w:ascii="Arial" w:hAnsi="Arial" w:cs="Arial"/>
          <w:iCs/>
          <w:lang w:val="en-US"/>
        </w:rPr>
        <w:t>Diagnosis of Cystic Fibrosis: Consensus Guidelines from the Cystic Fibrosis Founda</w:t>
      </w:r>
      <w:r w:rsidR="007A4890" w:rsidRPr="0099507F">
        <w:rPr>
          <w:rFonts w:ascii="Arial" w:hAnsi="Arial" w:cs="Arial"/>
          <w:iCs/>
          <w:lang w:val="en-US"/>
        </w:rPr>
        <w:t xml:space="preserve">tion. J </w:t>
      </w:r>
      <w:proofErr w:type="spellStart"/>
      <w:r w:rsidR="007A4890" w:rsidRPr="0099507F">
        <w:rPr>
          <w:rFonts w:ascii="Arial" w:hAnsi="Arial" w:cs="Arial"/>
          <w:iCs/>
          <w:lang w:val="en-US"/>
        </w:rPr>
        <w:t>Pediatr</w:t>
      </w:r>
      <w:proofErr w:type="spellEnd"/>
      <w:r w:rsidR="007A4890" w:rsidRPr="0099507F">
        <w:rPr>
          <w:rFonts w:ascii="Arial" w:hAnsi="Arial" w:cs="Arial"/>
          <w:iCs/>
          <w:lang w:val="en-US"/>
        </w:rPr>
        <w:t>. 2017 Feb</w:t>
      </w:r>
      <w:proofErr w:type="gramStart"/>
      <w:r w:rsidR="007A4890" w:rsidRPr="0099507F">
        <w:rPr>
          <w:rFonts w:ascii="Arial" w:hAnsi="Arial" w:cs="Arial"/>
          <w:iCs/>
          <w:lang w:val="en-US"/>
        </w:rPr>
        <w:t>;18</w:t>
      </w:r>
      <w:proofErr w:type="gramEnd"/>
      <w:r w:rsidR="007A4890" w:rsidRPr="0099507F">
        <w:rPr>
          <w:rFonts w:ascii="Arial" w:hAnsi="Arial" w:cs="Arial"/>
          <w:iCs/>
          <w:lang w:val="en-US"/>
        </w:rPr>
        <w:t xml:space="preserve"> 1s:S4-S15.e1.</w:t>
      </w:r>
    </w:p>
    <w:p w14:paraId="0E3A029F" w14:textId="77777777" w:rsidR="00CC6FFC" w:rsidRPr="001225DA" w:rsidRDefault="006220AB" w:rsidP="001225DA">
      <w:pPr>
        <w:pStyle w:val="Prrafodelista"/>
        <w:numPr>
          <w:ilvl w:val="0"/>
          <w:numId w:val="1"/>
        </w:numPr>
        <w:spacing w:after="0" w:line="240" w:lineRule="auto"/>
        <w:jc w:val="both"/>
        <w:outlineLvl w:val="0"/>
        <w:rPr>
          <w:rFonts w:ascii="Arial" w:hAnsi="Arial" w:cs="Arial"/>
          <w:iCs/>
        </w:rPr>
      </w:pPr>
      <w:hyperlink r:id="rId6" w:history="1">
        <w:r w:rsidR="00CC6FFC" w:rsidRPr="004C7D0A">
          <w:rPr>
            <w:rFonts w:ascii="Arial" w:hAnsi="Arial" w:cs="Arial"/>
            <w:iCs/>
            <w:lang w:val="en-US"/>
          </w:rPr>
          <w:t>Averill S</w:t>
        </w:r>
      </w:hyperlink>
      <w:r w:rsidR="00CC6FFC" w:rsidRPr="004C7D0A">
        <w:rPr>
          <w:rFonts w:ascii="Arial" w:hAnsi="Arial" w:cs="Arial"/>
          <w:iCs/>
          <w:lang w:val="en-US"/>
        </w:rPr>
        <w:t xml:space="preserve">, </w:t>
      </w:r>
      <w:hyperlink r:id="rId7" w:history="1">
        <w:proofErr w:type="spellStart"/>
        <w:r w:rsidR="00CC6FFC" w:rsidRPr="004C7D0A">
          <w:rPr>
            <w:rFonts w:ascii="Arial" w:hAnsi="Arial" w:cs="Arial"/>
            <w:iCs/>
            <w:lang w:val="en-US"/>
          </w:rPr>
          <w:t>Lubner</w:t>
        </w:r>
        <w:proofErr w:type="spellEnd"/>
        <w:r w:rsidR="00CC6FFC" w:rsidRPr="004C7D0A">
          <w:rPr>
            <w:rFonts w:ascii="Arial" w:hAnsi="Arial" w:cs="Arial"/>
            <w:iCs/>
            <w:lang w:val="en-US"/>
          </w:rPr>
          <w:t xml:space="preserve"> MG</w:t>
        </w:r>
      </w:hyperlink>
      <w:r w:rsidR="00CC6FFC" w:rsidRPr="004C7D0A">
        <w:rPr>
          <w:rFonts w:ascii="Arial" w:hAnsi="Arial" w:cs="Arial"/>
          <w:iCs/>
          <w:lang w:val="en-US"/>
        </w:rPr>
        <w:t xml:space="preserve">, </w:t>
      </w:r>
      <w:hyperlink r:id="rId8" w:history="1">
        <w:proofErr w:type="spellStart"/>
        <w:r w:rsidR="00CC6FFC" w:rsidRPr="004C7D0A">
          <w:rPr>
            <w:rFonts w:ascii="Arial" w:hAnsi="Arial" w:cs="Arial"/>
            <w:iCs/>
            <w:lang w:val="en-US"/>
          </w:rPr>
          <w:t>Menias</w:t>
        </w:r>
        <w:proofErr w:type="spellEnd"/>
        <w:r w:rsidR="00CC6FFC" w:rsidRPr="004C7D0A">
          <w:rPr>
            <w:rFonts w:ascii="Arial" w:hAnsi="Arial" w:cs="Arial"/>
            <w:iCs/>
            <w:lang w:val="en-US"/>
          </w:rPr>
          <w:t xml:space="preserve"> CO</w:t>
        </w:r>
      </w:hyperlink>
      <w:r w:rsidR="00CC6FFC" w:rsidRPr="004C7D0A">
        <w:rPr>
          <w:rFonts w:ascii="Arial" w:hAnsi="Arial" w:cs="Arial"/>
          <w:iCs/>
          <w:lang w:val="en-US"/>
        </w:rPr>
        <w:t xml:space="preserve">, </w:t>
      </w:r>
      <w:hyperlink r:id="rId9" w:history="1">
        <w:proofErr w:type="spellStart"/>
        <w:r w:rsidR="00CC6FFC" w:rsidRPr="004C7D0A">
          <w:rPr>
            <w:rFonts w:ascii="Arial" w:hAnsi="Arial" w:cs="Arial"/>
            <w:iCs/>
            <w:lang w:val="en-US"/>
          </w:rPr>
          <w:t>Bhalla</w:t>
        </w:r>
        <w:proofErr w:type="spellEnd"/>
        <w:r w:rsidR="00CC6FFC" w:rsidRPr="004C7D0A">
          <w:rPr>
            <w:rFonts w:ascii="Arial" w:hAnsi="Arial" w:cs="Arial"/>
            <w:iCs/>
            <w:lang w:val="en-US"/>
          </w:rPr>
          <w:t xml:space="preserve"> S</w:t>
        </w:r>
      </w:hyperlink>
      <w:r w:rsidR="00CC6FFC" w:rsidRPr="004C7D0A">
        <w:rPr>
          <w:rFonts w:ascii="Arial" w:hAnsi="Arial" w:cs="Arial"/>
          <w:iCs/>
          <w:lang w:val="en-US"/>
        </w:rPr>
        <w:t>,</w:t>
      </w:r>
      <w:r w:rsidR="00CC6FFC" w:rsidRPr="001225DA">
        <w:rPr>
          <w:rFonts w:ascii="Arial" w:hAnsi="Arial" w:cs="Arial"/>
          <w:iCs/>
          <w:lang w:val="en-US"/>
        </w:rPr>
        <w:t xml:space="preserve"> </w:t>
      </w:r>
      <w:hyperlink r:id="rId10" w:history="1">
        <w:proofErr w:type="spellStart"/>
        <w:r w:rsidR="00CC6FFC" w:rsidRPr="001225DA">
          <w:rPr>
            <w:rFonts w:ascii="Arial" w:hAnsi="Arial" w:cs="Arial"/>
            <w:iCs/>
            <w:lang w:val="en-US"/>
          </w:rPr>
          <w:t>Mellnick</w:t>
        </w:r>
        <w:proofErr w:type="spellEnd"/>
        <w:r w:rsidR="00CC6FFC" w:rsidRPr="001225DA">
          <w:rPr>
            <w:rFonts w:ascii="Arial" w:hAnsi="Arial" w:cs="Arial"/>
            <w:iCs/>
            <w:lang w:val="en-US"/>
          </w:rPr>
          <w:t xml:space="preserve"> VM</w:t>
        </w:r>
      </w:hyperlink>
      <w:r w:rsidR="00CC6FFC" w:rsidRPr="001225DA">
        <w:rPr>
          <w:rFonts w:ascii="Arial" w:hAnsi="Arial" w:cs="Arial"/>
          <w:iCs/>
          <w:lang w:val="en-US"/>
        </w:rPr>
        <w:t xml:space="preserve">, </w:t>
      </w:r>
      <w:hyperlink r:id="rId11" w:history="1">
        <w:r w:rsidR="00CC6FFC" w:rsidRPr="001225DA">
          <w:rPr>
            <w:rFonts w:ascii="Arial" w:hAnsi="Arial" w:cs="Arial"/>
            <w:iCs/>
            <w:lang w:val="en-US"/>
          </w:rPr>
          <w:t>Kennedy TA</w:t>
        </w:r>
      </w:hyperlink>
      <w:r w:rsidR="00CC6FFC" w:rsidRPr="001225DA">
        <w:rPr>
          <w:rFonts w:ascii="Arial" w:hAnsi="Arial" w:cs="Arial"/>
          <w:iCs/>
          <w:lang w:val="en-US"/>
        </w:rPr>
        <w:t xml:space="preserve">. Multisystem Imaging Findings of Cystic Fibrosis in Adults: Recognizing Typical and Atypical Patterns of Disease </w:t>
      </w:r>
      <w:hyperlink r:id="rId12" w:tooltip="AJR. American journal of roentgenology." w:history="1">
        <w:r w:rsidR="00CC6FFC" w:rsidRPr="001225DA">
          <w:rPr>
            <w:rFonts w:ascii="Arial" w:hAnsi="Arial" w:cs="Arial"/>
            <w:iCs/>
            <w:lang w:val="en-US"/>
          </w:rPr>
          <w:t xml:space="preserve">AJR Am J </w:t>
        </w:r>
        <w:proofErr w:type="spellStart"/>
        <w:r w:rsidR="00CC6FFC" w:rsidRPr="001225DA">
          <w:rPr>
            <w:rFonts w:ascii="Arial" w:hAnsi="Arial" w:cs="Arial"/>
            <w:iCs/>
            <w:lang w:val="en-US"/>
          </w:rPr>
          <w:t>Roentgenol</w:t>
        </w:r>
        <w:proofErr w:type="spellEnd"/>
        <w:r w:rsidR="00CC6FFC" w:rsidRPr="001225DA">
          <w:rPr>
            <w:rFonts w:ascii="Arial" w:hAnsi="Arial" w:cs="Arial"/>
            <w:iCs/>
            <w:lang w:val="en-US"/>
          </w:rPr>
          <w:t>.</w:t>
        </w:r>
      </w:hyperlink>
      <w:r w:rsidR="00CC6FFC" w:rsidRPr="001225DA">
        <w:rPr>
          <w:rFonts w:ascii="Arial" w:hAnsi="Arial" w:cs="Arial"/>
          <w:iCs/>
          <w:lang w:val="en-US"/>
        </w:rPr>
        <w:t xml:space="preserve"> </w:t>
      </w:r>
      <w:r w:rsidR="00CC6FFC" w:rsidRPr="001225DA">
        <w:rPr>
          <w:rFonts w:ascii="Arial" w:hAnsi="Arial" w:cs="Arial"/>
          <w:iCs/>
        </w:rPr>
        <w:t>2017 Jul;209(1).</w:t>
      </w:r>
    </w:p>
    <w:p w14:paraId="62833745" w14:textId="136DD8CE" w:rsidR="00CC6FFC" w:rsidRPr="006220AB" w:rsidRDefault="00CC6FFC" w:rsidP="007A4890">
      <w:pPr>
        <w:pStyle w:val="Prrafodelista"/>
        <w:numPr>
          <w:ilvl w:val="0"/>
          <w:numId w:val="1"/>
        </w:numPr>
        <w:spacing w:after="0" w:line="240" w:lineRule="auto"/>
        <w:jc w:val="both"/>
        <w:outlineLvl w:val="0"/>
        <w:rPr>
          <w:rFonts w:ascii="Arial" w:hAnsi="Arial" w:cs="Arial"/>
          <w:lang w:val="en-US"/>
        </w:rPr>
      </w:pPr>
      <w:proofErr w:type="spellStart"/>
      <w:r w:rsidRPr="0099507F">
        <w:rPr>
          <w:rFonts w:ascii="Arial" w:hAnsi="Arial" w:cs="Arial"/>
          <w:iCs/>
          <w:lang w:val="en-US"/>
        </w:rPr>
        <w:t>Floto</w:t>
      </w:r>
      <w:proofErr w:type="spellEnd"/>
      <w:r w:rsidR="001225DA" w:rsidRPr="0099507F">
        <w:rPr>
          <w:rFonts w:ascii="Arial" w:hAnsi="Arial" w:cs="Arial"/>
          <w:iCs/>
          <w:lang w:val="en-US"/>
        </w:rPr>
        <w:t xml:space="preserve"> RA, Oliver KN, </w:t>
      </w:r>
      <w:proofErr w:type="spellStart"/>
      <w:r w:rsidR="001225DA" w:rsidRPr="0099507F">
        <w:rPr>
          <w:rFonts w:ascii="Arial" w:hAnsi="Arial" w:cs="Arial"/>
          <w:iCs/>
          <w:lang w:val="en-US"/>
        </w:rPr>
        <w:t>Saiman</w:t>
      </w:r>
      <w:proofErr w:type="spellEnd"/>
      <w:r w:rsidR="001225DA" w:rsidRPr="0099507F">
        <w:rPr>
          <w:rFonts w:ascii="Arial" w:hAnsi="Arial" w:cs="Arial"/>
          <w:iCs/>
          <w:lang w:val="en-US"/>
        </w:rPr>
        <w:t xml:space="preserve"> L, Daley CL, Herrmann JL, Nick JA</w:t>
      </w:r>
      <w:r w:rsidRPr="0099507F">
        <w:rPr>
          <w:rFonts w:ascii="Arial" w:hAnsi="Arial" w:cs="Arial"/>
          <w:iCs/>
          <w:lang w:val="en-US"/>
        </w:rPr>
        <w:t xml:space="preserve"> et al. </w:t>
      </w:r>
      <w:r w:rsidRPr="007A4890">
        <w:rPr>
          <w:rFonts w:ascii="Arial" w:hAnsi="Arial" w:cs="Arial"/>
          <w:iCs/>
          <w:lang w:val="en-US"/>
        </w:rPr>
        <w:t xml:space="preserve">US Cystic Fibrosis Foundation and European Cystic Fibrosis Society consensus </w:t>
      </w:r>
      <w:r w:rsidRPr="007A4890">
        <w:rPr>
          <w:rFonts w:ascii="Arial" w:hAnsi="Arial" w:cs="Arial"/>
          <w:iCs/>
          <w:lang w:val="en-US"/>
        </w:rPr>
        <w:lastRenderedPageBreak/>
        <w:t xml:space="preserve">recommendations for the management of non-tuberculous mycobacteria in individuals with cystic </w:t>
      </w:r>
      <w:r w:rsidRPr="007A4890">
        <w:rPr>
          <w:rFonts w:ascii="Arial" w:hAnsi="Arial" w:cs="Arial"/>
          <w:iCs/>
        </w:rPr>
        <w:t>ﬁ</w:t>
      </w:r>
      <w:proofErr w:type="spellStart"/>
      <w:r w:rsidRPr="007A4890">
        <w:rPr>
          <w:rFonts w:ascii="Arial" w:hAnsi="Arial" w:cs="Arial"/>
          <w:iCs/>
          <w:lang w:val="en-US"/>
        </w:rPr>
        <w:t>brosis</w:t>
      </w:r>
      <w:proofErr w:type="spellEnd"/>
      <w:r w:rsidRPr="007A4890">
        <w:rPr>
          <w:rFonts w:ascii="Arial" w:hAnsi="Arial" w:cs="Arial"/>
          <w:iCs/>
          <w:lang w:val="en-US"/>
        </w:rPr>
        <w:t>. Thorax 2016.71:i1–i22.</w:t>
      </w:r>
    </w:p>
    <w:p w14:paraId="2C50FC2E" w14:textId="77777777" w:rsidR="006220AB" w:rsidRDefault="006220AB" w:rsidP="006220AB">
      <w:pPr>
        <w:spacing w:after="0" w:line="240" w:lineRule="auto"/>
        <w:jc w:val="both"/>
        <w:outlineLvl w:val="0"/>
        <w:rPr>
          <w:rFonts w:ascii="Arial" w:hAnsi="Arial" w:cs="Arial"/>
          <w:lang w:val="en-US"/>
        </w:rPr>
      </w:pPr>
    </w:p>
    <w:p w14:paraId="5730EFAA" w14:textId="20296EE2" w:rsidR="006220AB" w:rsidRDefault="006220AB" w:rsidP="006220AB">
      <w:pPr>
        <w:spacing w:after="0" w:line="240" w:lineRule="auto"/>
        <w:jc w:val="both"/>
        <w:outlineLvl w:val="0"/>
        <w:rPr>
          <w:rFonts w:ascii="Arial" w:hAnsi="Arial" w:cs="Arial"/>
          <w:lang w:val="en-US"/>
        </w:rPr>
      </w:pPr>
      <w:r>
        <w:rPr>
          <w:rFonts w:ascii="Arial" w:hAnsi="Arial" w:cs="Arial"/>
          <w:noProof/>
          <w:lang w:eastAsia="es-ES"/>
        </w:rPr>
        <w:drawing>
          <wp:inline distT="0" distB="0" distL="0" distR="0" wp14:anchorId="118AF507" wp14:editId="0528D46F">
            <wp:extent cx="5759450" cy="3239691"/>
            <wp:effectExtent l="0" t="0" r="0" b="0"/>
            <wp:docPr id="1" name="Imagen 1" descr="C:\Users\Feli\AppData\Local\Microsoft\Windows\Temporary Internet Files\Content.Outlook\MSCM0TUR\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AppData\Local\Microsoft\Windows\Temporary Internet Files\Content.Outlook\MSCM0TUR\Diapositiva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p w14:paraId="2ACD98A0" w14:textId="15E3832E" w:rsidR="006220AB" w:rsidRDefault="006220AB" w:rsidP="006220AB">
      <w:pPr>
        <w:spacing w:after="0" w:line="240" w:lineRule="auto"/>
        <w:jc w:val="both"/>
        <w:outlineLvl w:val="0"/>
        <w:rPr>
          <w:rFonts w:ascii="Arial" w:hAnsi="Arial" w:cs="Arial"/>
          <w:lang w:val="en-US"/>
        </w:rPr>
      </w:pPr>
      <w:r>
        <w:rPr>
          <w:rFonts w:ascii="Arial" w:hAnsi="Arial" w:cs="Arial"/>
          <w:noProof/>
          <w:lang w:eastAsia="es-ES"/>
        </w:rPr>
        <w:drawing>
          <wp:inline distT="0" distB="0" distL="0" distR="0" wp14:anchorId="65B57ED6" wp14:editId="5199349C">
            <wp:extent cx="5759450" cy="3239691"/>
            <wp:effectExtent l="0" t="0" r="0" b="0"/>
            <wp:docPr id="2" name="Imagen 2" descr="C:\Users\Feli\AppData\Local\Microsoft\Windows\Temporary Internet Files\Content.Outlook\MSCM0TUR\Diaposit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i\AppData\Local\Microsoft\Windows\Temporary Internet Files\Content.Outlook\MSCM0TUR\Diapositiva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p w14:paraId="7D841D02" w14:textId="77777777" w:rsidR="006220AB" w:rsidRDefault="006220AB" w:rsidP="006220AB">
      <w:pPr>
        <w:spacing w:after="0" w:line="240" w:lineRule="auto"/>
        <w:jc w:val="both"/>
        <w:outlineLvl w:val="0"/>
        <w:rPr>
          <w:rFonts w:ascii="Arial" w:hAnsi="Arial" w:cs="Arial"/>
          <w:lang w:val="en-US"/>
        </w:rPr>
      </w:pPr>
    </w:p>
    <w:p w14:paraId="5059DBD9" w14:textId="295A2B8A" w:rsidR="006220AB" w:rsidRDefault="006220AB" w:rsidP="006220AB">
      <w:pPr>
        <w:spacing w:after="0" w:line="240" w:lineRule="auto"/>
        <w:jc w:val="both"/>
        <w:outlineLvl w:val="0"/>
        <w:rPr>
          <w:rFonts w:ascii="Arial" w:hAnsi="Arial" w:cs="Arial"/>
          <w:lang w:val="en-US"/>
        </w:rPr>
      </w:pPr>
      <w:r>
        <w:rPr>
          <w:rFonts w:ascii="Arial" w:hAnsi="Arial" w:cs="Arial"/>
          <w:noProof/>
          <w:lang w:eastAsia="es-ES"/>
        </w:rPr>
        <w:lastRenderedPageBreak/>
        <w:drawing>
          <wp:inline distT="0" distB="0" distL="0" distR="0" wp14:anchorId="75B9CE8E" wp14:editId="6C3B7351">
            <wp:extent cx="5759450" cy="3239691"/>
            <wp:effectExtent l="0" t="0" r="0" b="0"/>
            <wp:docPr id="3" name="Imagen 3" descr="C:\Users\Feli\AppData\Local\Microsoft\Windows\Temporary Internet Files\Content.Outlook\MSCM0TUR\Diapositiv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i\AppData\Local\Microsoft\Windows\Temporary Internet Files\Content.Outlook\MSCM0TUR\Diapositiva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p w14:paraId="3FC3E719" w14:textId="705663D4" w:rsidR="006220AB" w:rsidRDefault="006220AB" w:rsidP="006220AB">
      <w:pPr>
        <w:spacing w:after="0" w:line="240" w:lineRule="auto"/>
        <w:jc w:val="both"/>
        <w:outlineLvl w:val="0"/>
        <w:rPr>
          <w:rFonts w:ascii="Arial" w:hAnsi="Arial" w:cs="Arial"/>
          <w:lang w:val="en-US"/>
        </w:rPr>
      </w:pPr>
      <w:r>
        <w:rPr>
          <w:rFonts w:ascii="Arial" w:hAnsi="Arial" w:cs="Arial"/>
          <w:noProof/>
          <w:lang w:eastAsia="es-ES"/>
        </w:rPr>
        <w:drawing>
          <wp:inline distT="0" distB="0" distL="0" distR="0" wp14:anchorId="3C4E0048" wp14:editId="7A0789BE">
            <wp:extent cx="5759450" cy="3239691"/>
            <wp:effectExtent l="0" t="0" r="0" b="0"/>
            <wp:docPr id="4" name="Imagen 4" descr="C:\Users\Feli\AppData\Local\Microsoft\Windows\Temporary Internet Files\Content.Outlook\MSCM0TUR\Diapositiv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i\AppData\Local\Microsoft\Windows\Temporary Internet Files\Content.Outlook\MSCM0TUR\Diapositiva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bookmarkStart w:id="0" w:name="_GoBack"/>
      <w:bookmarkEnd w:id="0"/>
    </w:p>
    <w:p w14:paraId="2C64EB5F" w14:textId="77777777" w:rsidR="006220AB" w:rsidRDefault="006220AB" w:rsidP="006220AB">
      <w:pPr>
        <w:spacing w:after="0" w:line="240" w:lineRule="auto"/>
        <w:jc w:val="both"/>
        <w:outlineLvl w:val="0"/>
        <w:rPr>
          <w:rFonts w:ascii="Arial" w:hAnsi="Arial" w:cs="Arial"/>
          <w:lang w:val="en-US"/>
        </w:rPr>
      </w:pPr>
    </w:p>
    <w:p w14:paraId="0A6A4B0B" w14:textId="77777777" w:rsidR="006220AB" w:rsidRPr="006220AB" w:rsidRDefault="006220AB" w:rsidP="006220AB">
      <w:pPr>
        <w:spacing w:after="0" w:line="240" w:lineRule="auto"/>
        <w:jc w:val="both"/>
        <w:outlineLvl w:val="0"/>
        <w:rPr>
          <w:rFonts w:ascii="Arial" w:hAnsi="Arial" w:cs="Arial"/>
          <w:lang w:val="en-US"/>
        </w:rPr>
      </w:pPr>
    </w:p>
    <w:sectPr w:rsidR="006220AB" w:rsidRPr="006220AB" w:rsidSect="001225D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8D4"/>
    <w:multiLevelType w:val="hybridMultilevel"/>
    <w:tmpl w:val="6408E89C"/>
    <w:lvl w:ilvl="0" w:tplc="67F0D1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fta9wtd7xx0e1ef5v7vrt2fxpsspta222vv&quot;&gt;micobacterias y FQ&lt;record-ids&gt;&lt;item&gt;11&lt;/item&gt;&lt;/record-ids&gt;&lt;/item&gt;&lt;/Libraries&gt;"/>
  </w:docVars>
  <w:rsids>
    <w:rsidRoot w:val="00CC6FFC"/>
    <w:rsid w:val="000049CC"/>
    <w:rsid w:val="000058B9"/>
    <w:rsid w:val="00022B1E"/>
    <w:rsid w:val="001225DA"/>
    <w:rsid w:val="001A1963"/>
    <w:rsid w:val="001A37F7"/>
    <w:rsid w:val="001B219D"/>
    <w:rsid w:val="002C4DA7"/>
    <w:rsid w:val="0037607F"/>
    <w:rsid w:val="004C7D0A"/>
    <w:rsid w:val="00582596"/>
    <w:rsid w:val="005D3977"/>
    <w:rsid w:val="005D6ADB"/>
    <w:rsid w:val="006220AB"/>
    <w:rsid w:val="007A4890"/>
    <w:rsid w:val="008874B0"/>
    <w:rsid w:val="0099507F"/>
    <w:rsid w:val="00A479B1"/>
    <w:rsid w:val="00CC6FFC"/>
    <w:rsid w:val="00D040D6"/>
    <w:rsid w:val="00EA0B21"/>
    <w:rsid w:val="00EA2369"/>
    <w:rsid w:val="00F61801"/>
    <w:rsid w:val="00FF23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C6FFC"/>
    <w:pPr>
      <w:ind w:left="720"/>
      <w:contextualSpacing/>
    </w:pPr>
  </w:style>
  <w:style w:type="character" w:styleId="Refdecomentario">
    <w:name w:val="annotation reference"/>
    <w:basedOn w:val="Fuentedeprrafopredeter"/>
    <w:uiPriority w:val="99"/>
    <w:semiHidden/>
    <w:unhideWhenUsed/>
    <w:rsid w:val="00CC6FFC"/>
    <w:rPr>
      <w:sz w:val="16"/>
      <w:szCs w:val="16"/>
    </w:rPr>
  </w:style>
  <w:style w:type="paragraph" w:styleId="Textocomentario">
    <w:name w:val="annotation text"/>
    <w:basedOn w:val="Normal"/>
    <w:link w:val="TextocomentarioCar"/>
    <w:uiPriority w:val="99"/>
    <w:semiHidden/>
    <w:unhideWhenUsed/>
    <w:rsid w:val="00CC6F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6FFC"/>
    <w:rPr>
      <w:sz w:val="20"/>
      <w:szCs w:val="20"/>
    </w:rPr>
  </w:style>
  <w:style w:type="paragraph" w:styleId="Textodeglobo">
    <w:name w:val="Balloon Text"/>
    <w:basedOn w:val="Normal"/>
    <w:link w:val="TextodegloboCar"/>
    <w:uiPriority w:val="99"/>
    <w:semiHidden/>
    <w:unhideWhenUsed/>
    <w:rsid w:val="001A19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963"/>
    <w:rPr>
      <w:rFonts w:ascii="Segoe UI" w:hAnsi="Segoe UI" w:cs="Segoe UI"/>
      <w:sz w:val="18"/>
      <w:szCs w:val="18"/>
    </w:rPr>
  </w:style>
  <w:style w:type="paragraph" w:customStyle="1" w:styleId="EndNoteBibliographyTitle">
    <w:name w:val="EndNote Bibliography Title"/>
    <w:basedOn w:val="Normal"/>
    <w:link w:val="EndNoteBibliographyTitleCar"/>
    <w:rsid w:val="00F61801"/>
    <w:pPr>
      <w:spacing w:after="0"/>
      <w:jc w:val="center"/>
    </w:pPr>
    <w:rPr>
      <w:rFonts w:ascii="Calibri" w:hAnsi="Calibri" w:cs="Calibri"/>
      <w:noProof/>
      <w:lang w:val="en-US"/>
    </w:rPr>
  </w:style>
  <w:style w:type="character" w:customStyle="1" w:styleId="PrrafodelistaCar">
    <w:name w:val="Párrafo de lista Car"/>
    <w:basedOn w:val="Fuentedeprrafopredeter"/>
    <w:link w:val="Prrafodelista"/>
    <w:uiPriority w:val="34"/>
    <w:rsid w:val="00F61801"/>
  </w:style>
  <w:style w:type="character" w:customStyle="1" w:styleId="EndNoteBibliographyTitleCar">
    <w:name w:val="EndNote Bibliography Title Car"/>
    <w:basedOn w:val="PrrafodelistaCar"/>
    <w:link w:val="EndNoteBibliographyTitle"/>
    <w:rsid w:val="00F61801"/>
    <w:rPr>
      <w:rFonts w:ascii="Calibri" w:hAnsi="Calibri" w:cs="Calibri"/>
      <w:noProof/>
      <w:lang w:val="en-US"/>
    </w:rPr>
  </w:style>
  <w:style w:type="paragraph" w:customStyle="1" w:styleId="EndNoteBibliography">
    <w:name w:val="EndNote Bibliography"/>
    <w:basedOn w:val="Normal"/>
    <w:link w:val="EndNoteBibliographyCar"/>
    <w:rsid w:val="00F61801"/>
    <w:pPr>
      <w:spacing w:line="240" w:lineRule="auto"/>
    </w:pPr>
    <w:rPr>
      <w:rFonts w:ascii="Calibri" w:hAnsi="Calibri" w:cs="Calibri"/>
      <w:noProof/>
      <w:lang w:val="en-US"/>
    </w:rPr>
  </w:style>
  <w:style w:type="character" w:customStyle="1" w:styleId="EndNoteBibliographyCar">
    <w:name w:val="EndNote Bibliography Car"/>
    <w:basedOn w:val="PrrafodelistaCar"/>
    <w:link w:val="EndNoteBibliography"/>
    <w:rsid w:val="00F61801"/>
    <w:rPr>
      <w:rFonts w:ascii="Calibri" w:hAnsi="Calibri" w:cs="Calibri"/>
      <w:noProof/>
      <w:lang w:val="en-US"/>
    </w:rPr>
  </w:style>
  <w:style w:type="character" w:styleId="Hipervnculo">
    <w:name w:val="Hyperlink"/>
    <w:basedOn w:val="Fuentedeprrafopredeter"/>
    <w:uiPriority w:val="99"/>
    <w:unhideWhenUsed/>
    <w:rsid w:val="00F618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C6FFC"/>
    <w:pPr>
      <w:ind w:left="720"/>
      <w:contextualSpacing/>
    </w:pPr>
  </w:style>
  <w:style w:type="character" w:styleId="Refdecomentario">
    <w:name w:val="annotation reference"/>
    <w:basedOn w:val="Fuentedeprrafopredeter"/>
    <w:uiPriority w:val="99"/>
    <w:semiHidden/>
    <w:unhideWhenUsed/>
    <w:rsid w:val="00CC6FFC"/>
    <w:rPr>
      <w:sz w:val="16"/>
      <w:szCs w:val="16"/>
    </w:rPr>
  </w:style>
  <w:style w:type="paragraph" w:styleId="Textocomentario">
    <w:name w:val="annotation text"/>
    <w:basedOn w:val="Normal"/>
    <w:link w:val="TextocomentarioCar"/>
    <w:uiPriority w:val="99"/>
    <w:semiHidden/>
    <w:unhideWhenUsed/>
    <w:rsid w:val="00CC6F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6FFC"/>
    <w:rPr>
      <w:sz w:val="20"/>
      <w:szCs w:val="20"/>
    </w:rPr>
  </w:style>
  <w:style w:type="paragraph" w:styleId="Textodeglobo">
    <w:name w:val="Balloon Text"/>
    <w:basedOn w:val="Normal"/>
    <w:link w:val="TextodegloboCar"/>
    <w:uiPriority w:val="99"/>
    <w:semiHidden/>
    <w:unhideWhenUsed/>
    <w:rsid w:val="001A19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963"/>
    <w:rPr>
      <w:rFonts w:ascii="Segoe UI" w:hAnsi="Segoe UI" w:cs="Segoe UI"/>
      <w:sz w:val="18"/>
      <w:szCs w:val="18"/>
    </w:rPr>
  </w:style>
  <w:style w:type="paragraph" w:customStyle="1" w:styleId="EndNoteBibliographyTitle">
    <w:name w:val="EndNote Bibliography Title"/>
    <w:basedOn w:val="Normal"/>
    <w:link w:val="EndNoteBibliographyTitleCar"/>
    <w:rsid w:val="00F61801"/>
    <w:pPr>
      <w:spacing w:after="0"/>
      <w:jc w:val="center"/>
    </w:pPr>
    <w:rPr>
      <w:rFonts w:ascii="Calibri" w:hAnsi="Calibri" w:cs="Calibri"/>
      <w:noProof/>
      <w:lang w:val="en-US"/>
    </w:rPr>
  </w:style>
  <w:style w:type="character" w:customStyle="1" w:styleId="PrrafodelistaCar">
    <w:name w:val="Párrafo de lista Car"/>
    <w:basedOn w:val="Fuentedeprrafopredeter"/>
    <w:link w:val="Prrafodelista"/>
    <w:uiPriority w:val="34"/>
    <w:rsid w:val="00F61801"/>
  </w:style>
  <w:style w:type="character" w:customStyle="1" w:styleId="EndNoteBibliographyTitleCar">
    <w:name w:val="EndNote Bibliography Title Car"/>
    <w:basedOn w:val="PrrafodelistaCar"/>
    <w:link w:val="EndNoteBibliographyTitle"/>
    <w:rsid w:val="00F61801"/>
    <w:rPr>
      <w:rFonts w:ascii="Calibri" w:hAnsi="Calibri" w:cs="Calibri"/>
      <w:noProof/>
      <w:lang w:val="en-US"/>
    </w:rPr>
  </w:style>
  <w:style w:type="paragraph" w:customStyle="1" w:styleId="EndNoteBibliography">
    <w:name w:val="EndNote Bibliography"/>
    <w:basedOn w:val="Normal"/>
    <w:link w:val="EndNoteBibliographyCar"/>
    <w:rsid w:val="00F61801"/>
    <w:pPr>
      <w:spacing w:line="240" w:lineRule="auto"/>
    </w:pPr>
    <w:rPr>
      <w:rFonts w:ascii="Calibri" w:hAnsi="Calibri" w:cs="Calibri"/>
      <w:noProof/>
      <w:lang w:val="en-US"/>
    </w:rPr>
  </w:style>
  <w:style w:type="character" w:customStyle="1" w:styleId="EndNoteBibliographyCar">
    <w:name w:val="EndNote Bibliography Car"/>
    <w:basedOn w:val="PrrafodelistaCar"/>
    <w:link w:val="EndNoteBibliography"/>
    <w:rsid w:val="00F61801"/>
    <w:rPr>
      <w:rFonts w:ascii="Calibri" w:hAnsi="Calibri" w:cs="Calibri"/>
      <w:noProof/>
      <w:lang w:val="en-US"/>
    </w:rPr>
  </w:style>
  <w:style w:type="character" w:styleId="Hipervnculo">
    <w:name w:val="Hyperlink"/>
    <w:basedOn w:val="Fuentedeprrafopredeter"/>
    <w:uiPriority w:val="99"/>
    <w:unhideWhenUsed/>
    <w:rsid w:val="00F61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enias%20CO%5BAuthor%5D&amp;cauthor=true&amp;cauthor_uid=28639921"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cbi.nlm.nih.gov/pubmed/?term=Lubner%20MG%5BAuthor%5D&amp;cauthor=true&amp;cauthor_uid=28639921" TargetMode="External"/><Relationship Id="rId12" Type="http://schemas.openxmlformats.org/officeDocument/2006/relationships/hyperlink" Target="https://www.ncbi.nlm.nih.gov/pubmed/286399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ncbi.nlm.nih.gov/pubmed/?term=Averill%20S%5BAuthor%5D&amp;cauthor=true&amp;cauthor_uid=28639921" TargetMode="External"/><Relationship Id="rId11" Type="http://schemas.openxmlformats.org/officeDocument/2006/relationships/hyperlink" Target="https://www.ncbi.nlm.nih.gov/pubmed/?term=Kennedy%20TA%5BAuthor%5D&amp;cauthor=true&amp;cauthor_uid=28639921"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ncbi.nlm.nih.gov/pubmed/?term=Mellnick%20VM%5BAuthor%5D&amp;cauthor=true&amp;cauthor_uid=28639921" TargetMode="External"/><Relationship Id="rId4" Type="http://schemas.openxmlformats.org/officeDocument/2006/relationships/settings" Target="settings.xml"/><Relationship Id="rId9" Type="http://schemas.openxmlformats.org/officeDocument/2006/relationships/hyperlink" Target="https://www.ncbi.nlm.nih.gov/pubmed/?term=Bhalla%20S%5BAuthor%5D&amp;cauthor=true&amp;cauthor_uid=28639921"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 rosales</dc:creator>
  <cp:lastModifiedBy>SOCALPAR</cp:lastModifiedBy>
  <cp:revision>2</cp:revision>
  <dcterms:created xsi:type="dcterms:W3CDTF">2019-04-01T22:27:00Z</dcterms:created>
  <dcterms:modified xsi:type="dcterms:W3CDTF">2019-04-01T22:27:00Z</dcterms:modified>
</cp:coreProperties>
</file>