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0" w:rsidRPr="005A2C50" w:rsidRDefault="00743F5F" w:rsidP="00B66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CASO RARO DE NEUMOPATÍA</w:t>
      </w:r>
      <w:r w:rsidR="005A2C50" w:rsidRPr="005A2C50">
        <w:rPr>
          <w:rFonts w:ascii="Arial" w:hAnsi="Arial" w:cs="Arial"/>
          <w:b/>
        </w:rPr>
        <w:t xml:space="preserve"> INTERSTICIAL FAMILIAR</w:t>
      </w:r>
    </w:p>
    <w:p w:rsidR="00B665DF" w:rsidRPr="005A2C50" w:rsidRDefault="00B665DF" w:rsidP="00B665DF">
      <w:pPr>
        <w:jc w:val="center"/>
        <w:rPr>
          <w:rFonts w:ascii="Arial" w:hAnsi="Arial" w:cs="Arial"/>
          <w:sz w:val="20"/>
          <w:szCs w:val="20"/>
        </w:rPr>
      </w:pPr>
      <w:r w:rsidRPr="005A2C50">
        <w:rPr>
          <w:rFonts w:ascii="Arial" w:hAnsi="Arial" w:cs="Arial"/>
          <w:sz w:val="20"/>
          <w:szCs w:val="20"/>
        </w:rPr>
        <w:t>Virg</w:t>
      </w:r>
      <w:r w:rsidR="00091F7E" w:rsidRPr="005A2C50">
        <w:rPr>
          <w:rFonts w:ascii="Arial" w:hAnsi="Arial" w:cs="Arial"/>
          <w:sz w:val="20"/>
          <w:szCs w:val="20"/>
        </w:rPr>
        <w:t>i</w:t>
      </w:r>
      <w:r w:rsidRPr="005A2C50">
        <w:rPr>
          <w:rFonts w:ascii="Arial" w:hAnsi="Arial" w:cs="Arial"/>
          <w:sz w:val="20"/>
          <w:szCs w:val="20"/>
        </w:rPr>
        <w:t>nia Guevara</w:t>
      </w:r>
      <w:r w:rsidR="005A2C50" w:rsidRPr="005A2C50">
        <w:rPr>
          <w:rFonts w:ascii="Arial" w:hAnsi="Arial" w:cs="Arial"/>
          <w:sz w:val="20"/>
          <w:szCs w:val="20"/>
        </w:rPr>
        <w:t xml:space="preserve"> Velázquez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1</w:t>
      </w:r>
      <w:r w:rsidRPr="005A2C50">
        <w:rPr>
          <w:rFonts w:ascii="Arial" w:hAnsi="Arial" w:cs="Arial"/>
          <w:sz w:val="20"/>
          <w:szCs w:val="20"/>
        </w:rPr>
        <w:t>, Milagros T. Rosales</w:t>
      </w:r>
      <w:r w:rsidR="005A2C50" w:rsidRPr="005A2C50">
        <w:rPr>
          <w:rFonts w:ascii="Arial" w:hAnsi="Arial" w:cs="Arial"/>
          <w:sz w:val="20"/>
          <w:szCs w:val="20"/>
        </w:rPr>
        <w:t xml:space="preserve"> De Dios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1</w:t>
      </w:r>
      <w:r w:rsidRPr="005A2C50">
        <w:rPr>
          <w:rFonts w:ascii="Arial" w:hAnsi="Arial" w:cs="Arial"/>
          <w:sz w:val="20"/>
          <w:szCs w:val="20"/>
        </w:rPr>
        <w:t>, José María González Ruiz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1</w:t>
      </w:r>
      <w:r w:rsidR="005A2C50" w:rsidRPr="005A2C50">
        <w:rPr>
          <w:rFonts w:ascii="Arial" w:hAnsi="Arial" w:cs="Arial"/>
          <w:sz w:val="20"/>
          <w:szCs w:val="20"/>
        </w:rPr>
        <w:t xml:space="preserve">, Jair José </w:t>
      </w:r>
      <w:proofErr w:type="spellStart"/>
      <w:r w:rsidR="005A2C50" w:rsidRPr="005A2C50">
        <w:rPr>
          <w:rFonts w:ascii="Arial" w:hAnsi="Arial" w:cs="Arial"/>
          <w:sz w:val="20"/>
          <w:szCs w:val="20"/>
        </w:rPr>
        <w:t>Rauseo</w:t>
      </w:r>
      <w:proofErr w:type="spellEnd"/>
      <w:r w:rsidR="005A2C50" w:rsidRPr="005A2C50">
        <w:rPr>
          <w:rFonts w:ascii="Arial" w:hAnsi="Arial" w:cs="Arial"/>
          <w:sz w:val="20"/>
          <w:szCs w:val="20"/>
        </w:rPr>
        <w:t xml:space="preserve"> López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1</w:t>
      </w:r>
      <w:r w:rsidR="005A2C50" w:rsidRPr="005A2C50">
        <w:rPr>
          <w:rFonts w:ascii="Arial" w:hAnsi="Arial" w:cs="Arial"/>
          <w:sz w:val="20"/>
          <w:szCs w:val="20"/>
        </w:rPr>
        <w:t xml:space="preserve">, María Rocío </w:t>
      </w:r>
      <w:proofErr w:type="spellStart"/>
      <w:r w:rsidR="005A2C50" w:rsidRPr="005A2C50">
        <w:rPr>
          <w:rFonts w:ascii="Arial" w:hAnsi="Arial" w:cs="Arial"/>
          <w:sz w:val="20"/>
          <w:szCs w:val="20"/>
        </w:rPr>
        <w:t>Bartol</w:t>
      </w:r>
      <w:proofErr w:type="spellEnd"/>
      <w:r w:rsidR="005A2C50" w:rsidRPr="005A2C50">
        <w:rPr>
          <w:rFonts w:ascii="Arial" w:hAnsi="Arial" w:cs="Arial"/>
          <w:sz w:val="20"/>
          <w:szCs w:val="20"/>
        </w:rPr>
        <w:t xml:space="preserve"> Sánchez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1</w:t>
      </w:r>
      <w:r w:rsidR="005A2C50" w:rsidRPr="005A2C50">
        <w:rPr>
          <w:rFonts w:ascii="Arial" w:hAnsi="Arial" w:cs="Arial"/>
          <w:sz w:val="20"/>
          <w:szCs w:val="20"/>
        </w:rPr>
        <w:t>, Elena García Arias-Salgado</w:t>
      </w:r>
      <w:r w:rsidR="005A2C50" w:rsidRPr="005A2C50">
        <w:rPr>
          <w:rFonts w:ascii="Arial" w:hAnsi="Arial" w:cs="Arial"/>
          <w:sz w:val="20"/>
          <w:szCs w:val="20"/>
          <w:vertAlign w:val="superscript"/>
        </w:rPr>
        <w:t>2</w:t>
      </w:r>
      <w:r w:rsidR="005A2C50" w:rsidRPr="005A2C50">
        <w:rPr>
          <w:rFonts w:ascii="Arial" w:hAnsi="Arial" w:cs="Arial"/>
          <w:sz w:val="20"/>
          <w:szCs w:val="20"/>
        </w:rPr>
        <w:t>.</w:t>
      </w:r>
    </w:p>
    <w:p w:rsidR="005A2C50" w:rsidRPr="005A2C50" w:rsidRDefault="005A2C50" w:rsidP="005A2C50">
      <w:pPr>
        <w:pStyle w:val="Prrafodelista"/>
        <w:numPr>
          <w:ilvl w:val="0"/>
          <w:numId w:val="13"/>
        </w:numPr>
        <w:jc w:val="center"/>
        <w:rPr>
          <w:rFonts w:ascii="Arial" w:hAnsi="Arial" w:cs="Arial"/>
          <w:sz w:val="20"/>
          <w:szCs w:val="20"/>
        </w:rPr>
      </w:pPr>
      <w:r w:rsidRPr="005A2C50">
        <w:rPr>
          <w:rFonts w:ascii="Arial" w:hAnsi="Arial" w:cs="Arial"/>
          <w:sz w:val="20"/>
          <w:szCs w:val="20"/>
        </w:rPr>
        <w:t xml:space="preserve">Servicio de Neumología. Complejo Asistencial Universitario de Salamanca. 2. </w:t>
      </w:r>
      <w:proofErr w:type="spellStart"/>
      <w:r w:rsidRPr="005A2C50">
        <w:rPr>
          <w:rFonts w:ascii="Arial" w:hAnsi="Arial" w:cs="Arial"/>
          <w:sz w:val="20"/>
          <w:szCs w:val="20"/>
        </w:rPr>
        <w:t>Advanced</w:t>
      </w:r>
      <w:proofErr w:type="spellEnd"/>
      <w:r w:rsidRPr="005A2C50">
        <w:rPr>
          <w:rFonts w:ascii="Arial" w:hAnsi="Arial" w:cs="Arial"/>
          <w:sz w:val="20"/>
          <w:szCs w:val="20"/>
        </w:rPr>
        <w:t xml:space="preserve"> Medical </w:t>
      </w:r>
      <w:proofErr w:type="spellStart"/>
      <w:r w:rsidRPr="005A2C50">
        <w:rPr>
          <w:rFonts w:ascii="Arial" w:hAnsi="Arial" w:cs="Arial"/>
          <w:sz w:val="20"/>
          <w:szCs w:val="20"/>
        </w:rPr>
        <w:t>Projects</w:t>
      </w:r>
      <w:proofErr w:type="spellEnd"/>
      <w:r w:rsidRPr="005A2C50">
        <w:rPr>
          <w:rFonts w:ascii="Arial" w:hAnsi="Arial" w:cs="Arial"/>
          <w:sz w:val="20"/>
          <w:szCs w:val="20"/>
        </w:rPr>
        <w:t>. CSIC-UAM.</w:t>
      </w:r>
    </w:p>
    <w:p w:rsidR="00B665DF" w:rsidRDefault="00B665DF" w:rsidP="00073806">
      <w:pPr>
        <w:jc w:val="both"/>
        <w:rPr>
          <w:rFonts w:ascii="Arial" w:hAnsi="Arial" w:cs="Arial"/>
          <w:sz w:val="22"/>
          <w:szCs w:val="22"/>
        </w:rPr>
      </w:pPr>
    </w:p>
    <w:p w:rsidR="00E74C55" w:rsidRPr="005E42A1" w:rsidRDefault="002874FE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Varón de 49 </w:t>
      </w:r>
      <w:r w:rsidR="0036202B" w:rsidRPr="005E42A1">
        <w:rPr>
          <w:rFonts w:ascii="Arial" w:hAnsi="Arial" w:cs="Arial"/>
          <w:sz w:val="22"/>
          <w:szCs w:val="22"/>
        </w:rPr>
        <w:t>años, remitido a consulta externa</w:t>
      </w:r>
      <w:r w:rsidR="00DE0400" w:rsidRPr="005E42A1">
        <w:rPr>
          <w:rFonts w:ascii="Arial" w:hAnsi="Arial" w:cs="Arial"/>
          <w:sz w:val="22"/>
          <w:szCs w:val="22"/>
        </w:rPr>
        <w:t xml:space="preserve"> de Neumología por tos no prod</w:t>
      </w:r>
      <w:r w:rsidR="00AA71E4" w:rsidRPr="005E42A1">
        <w:rPr>
          <w:rFonts w:ascii="Arial" w:hAnsi="Arial" w:cs="Arial"/>
          <w:sz w:val="22"/>
          <w:szCs w:val="22"/>
        </w:rPr>
        <w:t xml:space="preserve">uctiva de 6 meses de evolución sin </w:t>
      </w:r>
      <w:r w:rsidR="00DE0400" w:rsidRPr="005E42A1">
        <w:rPr>
          <w:rFonts w:ascii="Arial" w:hAnsi="Arial" w:cs="Arial"/>
          <w:sz w:val="22"/>
          <w:szCs w:val="22"/>
        </w:rPr>
        <w:t xml:space="preserve">otra clínica respiratoria </w:t>
      </w:r>
      <w:r w:rsidR="00AA71E4" w:rsidRPr="005E42A1">
        <w:rPr>
          <w:rFonts w:ascii="Arial" w:hAnsi="Arial" w:cs="Arial"/>
          <w:sz w:val="22"/>
          <w:szCs w:val="22"/>
        </w:rPr>
        <w:t>asociada</w:t>
      </w:r>
      <w:r w:rsidR="00DE0400" w:rsidRPr="005E42A1">
        <w:rPr>
          <w:rFonts w:ascii="Arial" w:hAnsi="Arial" w:cs="Arial"/>
          <w:sz w:val="22"/>
          <w:szCs w:val="22"/>
        </w:rPr>
        <w:t>. Co</w:t>
      </w:r>
      <w:r w:rsidR="007A25C9" w:rsidRPr="005E42A1">
        <w:rPr>
          <w:rFonts w:ascii="Arial" w:hAnsi="Arial" w:cs="Arial"/>
          <w:sz w:val="22"/>
          <w:szCs w:val="22"/>
        </w:rPr>
        <w:t>mo antecedentes personales, está</w:t>
      </w:r>
      <w:r w:rsidR="00DE0400" w:rsidRPr="005E42A1">
        <w:rPr>
          <w:rFonts w:ascii="Arial" w:hAnsi="Arial" w:cs="Arial"/>
          <w:sz w:val="22"/>
          <w:szCs w:val="22"/>
        </w:rPr>
        <w:t xml:space="preserve"> diagnostica</w:t>
      </w:r>
      <w:r w:rsidR="0036202B" w:rsidRPr="005E42A1">
        <w:rPr>
          <w:rFonts w:ascii="Arial" w:hAnsi="Arial" w:cs="Arial"/>
          <w:sz w:val="22"/>
          <w:szCs w:val="22"/>
        </w:rPr>
        <w:t>do</w:t>
      </w:r>
      <w:r w:rsidR="00DE0400" w:rsidRPr="005E42A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E0400" w:rsidRPr="005E42A1">
        <w:rPr>
          <w:rFonts w:ascii="Arial" w:hAnsi="Arial" w:cs="Arial"/>
          <w:sz w:val="22"/>
          <w:szCs w:val="22"/>
        </w:rPr>
        <w:t>disqueratosis</w:t>
      </w:r>
      <w:proofErr w:type="spellEnd"/>
      <w:r w:rsidR="00DE0400" w:rsidRPr="005E42A1">
        <w:rPr>
          <w:rFonts w:ascii="Arial" w:hAnsi="Arial" w:cs="Arial"/>
          <w:sz w:val="22"/>
          <w:szCs w:val="22"/>
        </w:rPr>
        <w:t xml:space="preserve"> congénita (DC) ligada al cromosoma X en el año 2000 por Dermatología</w:t>
      </w:r>
      <w:r w:rsidR="0036202B" w:rsidRPr="005E42A1">
        <w:rPr>
          <w:rFonts w:ascii="Arial" w:hAnsi="Arial" w:cs="Arial"/>
          <w:sz w:val="22"/>
          <w:szCs w:val="22"/>
        </w:rPr>
        <w:t>,</w:t>
      </w:r>
      <w:r w:rsidR="00DE0400" w:rsidRPr="005E42A1">
        <w:rPr>
          <w:rFonts w:ascii="Arial" w:hAnsi="Arial" w:cs="Arial"/>
          <w:sz w:val="22"/>
          <w:szCs w:val="22"/>
        </w:rPr>
        <w:t xml:space="preserve"> con clínica de distrofia </w:t>
      </w:r>
      <w:proofErr w:type="spellStart"/>
      <w:r w:rsidR="00DE0400" w:rsidRPr="005E42A1">
        <w:rPr>
          <w:rFonts w:ascii="Arial" w:hAnsi="Arial" w:cs="Arial"/>
          <w:sz w:val="22"/>
          <w:szCs w:val="22"/>
        </w:rPr>
        <w:t>ungueal</w:t>
      </w:r>
      <w:proofErr w:type="spellEnd"/>
      <w:r w:rsidR="00DE0400" w:rsidRPr="005E42A1">
        <w:rPr>
          <w:rFonts w:ascii="Arial" w:hAnsi="Arial" w:cs="Arial"/>
          <w:sz w:val="22"/>
          <w:szCs w:val="22"/>
        </w:rPr>
        <w:t>, pigmentación ret</w:t>
      </w:r>
      <w:r w:rsidR="00AA71E4" w:rsidRPr="005E42A1">
        <w:rPr>
          <w:rFonts w:ascii="Arial" w:hAnsi="Arial" w:cs="Arial"/>
          <w:sz w:val="22"/>
          <w:szCs w:val="22"/>
        </w:rPr>
        <w:t xml:space="preserve">icular y </w:t>
      </w:r>
      <w:proofErr w:type="spellStart"/>
      <w:r w:rsidR="00AA71E4" w:rsidRPr="005E42A1">
        <w:rPr>
          <w:rFonts w:ascii="Arial" w:hAnsi="Arial" w:cs="Arial"/>
          <w:sz w:val="22"/>
          <w:szCs w:val="22"/>
        </w:rPr>
        <w:t>leucoplasia</w:t>
      </w:r>
      <w:proofErr w:type="spellEnd"/>
      <w:r w:rsidR="00AA71E4" w:rsidRPr="005E42A1">
        <w:rPr>
          <w:rFonts w:ascii="Arial" w:hAnsi="Arial" w:cs="Arial"/>
          <w:sz w:val="22"/>
          <w:szCs w:val="22"/>
        </w:rPr>
        <w:t xml:space="preserve"> oral</w:t>
      </w:r>
      <w:r w:rsidR="006D453A">
        <w:rPr>
          <w:rFonts w:ascii="Arial" w:hAnsi="Arial" w:cs="Arial"/>
          <w:sz w:val="22"/>
          <w:szCs w:val="22"/>
        </w:rPr>
        <w:t xml:space="preserve"> (Figura 1)</w:t>
      </w:r>
      <w:r w:rsidR="00AA71E4" w:rsidRPr="005E42A1">
        <w:rPr>
          <w:rFonts w:ascii="Arial" w:hAnsi="Arial" w:cs="Arial"/>
          <w:sz w:val="22"/>
          <w:szCs w:val="22"/>
        </w:rPr>
        <w:t>. Ademá</w:t>
      </w:r>
      <w:r w:rsidR="00DE0400" w:rsidRPr="005E42A1">
        <w:rPr>
          <w:rFonts w:ascii="Arial" w:hAnsi="Arial" w:cs="Arial"/>
          <w:sz w:val="22"/>
          <w:szCs w:val="22"/>
        </w:rPr>
        <w:t xml:space="preserve">s, está en seguimiento </w:t>
      </w:r>
      <w:r w:rsidR="00AA71E4" w:rsidRPr="005E42A1">
        <w:rPr>
          <w:rFonts w:ascii="Arial" w:hAnsi="Arial" w:cs="Arial"/>
          <w:sz w:val="22"/>
          <w:szCs w:val="22"/>
        </w:rPr>
        <w:t>en</w:t>
      </w:r>
      <w:r w:rsidR="00DE0400" w:rsidRPr="005E42A1">
        <w:rPr>
          <w:rFonts w:ascii="Arial" w:hAnsi="Arial" w:cs="Arial"/>
          <w:sz w:val="22"/>
          <w:szCs w:val="22"/>
        </w:rPr>
        <w:t xml:space="preserve"> Hematología por anemia </w:t>
      </w:r>
      <w:proofErr w:type="spellStart"/>
      <w:r w:rsidR="00DE0400" w:rsidRPr="005E42A1">
        <w:rPr>
          <w:rFonts w:ascii="Arial" w:hAnsi="Arial" w:cs="Arial"/>
          <w:sz w:val="22"/>
          <w:szCs w:val="22"/>
        </w:rPr>
        <w:t>aplásica</w:t>
      </w:r>
      <w:proofErr w:type="spellEnd"/>
      <w:r w:rsidR="00DE0400" w:rsidRPr="005E42A1">
        <w:rPr>
          <w:rFonts w:ascii="Arial" w:hAnsi="Arial" w:cs="Arial"/>
          <w:sz w:val="22"/>
          <w:szCs w:val="22"/>
        </w:rPr>
        <w:t>.</w:t>
      </w:r>
      <w:r w:rsidR="00242A3E" w:rsidRPr="005E42A1">
        <w:rPr>
          <w:rFonts w:ascii="Arial" w:hAnsi="Arial" w:cs="Arial"/>
          <w:sz w:val="22"/>
          <w:szCs w:val="22"/>
        </w:rPr>
        <w:t xml:space="preserve"> El cariotipo en sangre periférica</w:t>
      </w:r>
      <w:r w:rsidR="002E3E98">
        <w:rPr>
          <w:rFonts w:ascii="Arial" w:hAnsi="Arial" w:cs="Arial"/>
          <w:sz w:val="22"/>
          <w:szCs w:val="22"/>
        </w:rPr>
        <w:t xml:space="preserve"> y en médula ó</w:t>
      </w:r>
      <w:r w:rsidR="00242A3E" w:rsidRPr="005E42A1">
        <w:rPr>
          <w:rFonts w:ascii="Arial" w:hAnsi="Arial" w:cs="Arial"/>
          <w:sz w:val="22"/>
          <w:szCs w:val="22"/>
        </w:rPr>
        <w:t>sea es compatible con la normalidad.</w:t>
      </w:r>
      <w:r w:rsidR="00DE0400" w:rsidRPr="005E42A1">
        <w:rPr>
          <w:rFonts w:ascii="Arial" w:hAnsi="Arial" w:cs="Arial"/>
          <w:sz w:val="22"/>
          <w:szCs w:val="22"/>
        </w:rPr>
        <w:t xml:space="preserve"> Tiene </w:t>
      </w:r>
      <w:proofErr w:type="spellStart"/>
      <w:r w:rsidR="00DE0400" w:rsidRPr="005E42A1">
        <w:rPr>
          <w:rFonts w:ascii="Arial" w:hAnsi="Arial" w:cs="Arial"/>
          <w:sz w:val="22"/>
          <w:szCs w:val="22"/>
        </w:rPr>
        <w:t>rinoconjuntivitis</w:t>
      </w:r>
      <w:proofErr w:type="spellEnd"/>
      <w:r w:rsidR="00DE0400" w:rsidRPr="005E42A1">
        <w:rPr>
          <w:rFonts w:ascii="Arial" w:hAnsi="Arial" w:cs="Arial"/>
          <w:sz w:val="22"/>
          <w:szCs w:val="22"/>
        </w:rPr>
        <w:t xml:space="preserve"> estacional y es alérgico al polvo. El paciente trabaja en una empresa de transporte en contacto con el humo de los camiones. </w:t>
      </w:r>
      <w:r w:rsidR="007E7810" w:rsidRPr="005E42A1">
        <w:rPr>
          <w:rFonts w:ascii="Arial" w:hAnsi="Arial" w:cs="Arial"/>
          <w:sz w:val="22"/>
          <w:szCs w:val="22"/>
        </w:rPr>
        <w:t xml:space="preserve">No refiere contactos con otros agentes tóxicos inhalantes. </w:t>
      </w:r>
      <w:r w:rsidR="00DE0400" w:rsidRPr="005E42A1">
        <w:rPr>
          <w:rFonts w:ascii="Arial" w:hAnsi="Arial" w:cs="Arial"/>
          <w:sz w:val="22"/>
          <w:szCs w:val="22"/>
        </w:rPr>
        <w:t xml:space="preserve">No </w:t>
      </w:r>
      <w:r w:rsidR="007E7810" w:rsidRPr="005E42A1">
        <w:rPr>
          <w:rFonts w:ascii="Arial" w:hAnsi="Arial" w:cs="Arial"/>
          <w:sz w:val="22"/>
          <w:szCs w:val="22"/>
        </w:rPr>
        <w:t xml:space="preserve">tiene ni ha tenido </w:t>
      </w:r>
      <w:r w:rsidR="00DE0400" w:rsidRPr="005E42A1">
        <w:rPr>
          <w:rFonts w:ascii="Arial" w:hAnsi="Arial" w:cs="Arial"/>
          <w:sz w:val="22"/>
          <w:szCs w:val="22"/>
        </w:rPr>
        <w:t>hábitos tóxicos. Vive solo en domicilio y tiene un gato.</w:t>
      </w:r>
      <w:r w:rsidR="00D91F08" w:rsidRPr="005E42A1">
        <w:rPr>
          <w:rFonts w:ascii="Arial" w:hAnsi="Arial" w:cs="Arial"/>
          <w:sz w:val="22"/>
          <w:szCs w:val="22"/>
        </w:rPr>
        <w:t xml:space="preserve">  Como antecedentes familiares, tan sólo un primo ha sido diagnosticado de DC.</w:t>
      </w:r>
    </w:p>
    <w:p w:rsidR="0030266F" w:rsidRPr="005E42A1" w:rsidRDefault="0030266F" w:rsidP="00073806">
      <w:pPr>
        <w:jc w:val="both"/>
        <w:rPr>
          <w:rFonts w:ascii="Arial" w:hAnsi="Arial" w:cs="Arial"/>
          <w:sz w:val="22"/>
          <w:szCs w:val="22"/>
        </w:rPr>
      </w:pPr>
    </w:p>
    <w:p w:rsidR="0030266F" w:rsidRPr="005E42A1" w:rsidRDefault="0030266F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A la exploración física, el paciente está </w:t>
      </w:r>
      <w:proofErr w:type="spellStart"/>
      <w:r w:rsidRPr="005E42A1">
        <w:rPr>
          <w:rFonts w:ascii="Arial" w:hAnsi="Arial" w:cs="Arial"/>
          <w:sz w:val="22"/>
          <w:szCs w:val="22"/>
        </w:rPr>
        <w:t>eupneico</w:t>
      </w:r>
      <w:proofErr w:type="spellEnd"/>
      <w:r w:rsidR="00727A44" w:rsidRPr="005E42A1">
        <w:rPr>
          <w:rFonts w:ascii="Arial" w:hAnsi="Arial" w:cs="Arial"/>
          <w:sz w:val="22"/>
          <w:szCs w:val="22"/>
        </w:rPr>
        <w:t xml:space="preserve"> y la s</w:t>
      </w:r>
      <w:r w:rsidRPr="005E42A1">
        <w:rPr>
          <w:rFonts w:ascii="Arial" w:hAnsi="Arial" w:cs="Arial"/>
          <w:sz w:val="22"/>
          <w:szCs w:val="22"/>
        </w:rPr>
        <w:t xml:space="preserve">aturación basal de oxígeno </w:t>
      </w:r>
      <w:r w:rsidR="00727A44" w:rsidRPr="005E42A1">
        <w:rPr>
          <w:rFonts w:ascii="Arial" w:hAnsi="Arial" w:cs="Arial"/>
          <w:sz w:val="22"/>
          <w:szCs w:val="22"/>
        </w:rPr>
        <w:t xml:space="preserve">es </w:t>
      </w:r>
      <w:r w:rsidRPr="005E42A1">
        <w:rPr>
          <w:rFonts w:ascii="Arial" w:hAnsi="Arial" w:cs="Arial"/>
          <w:sz w:val="22"/>
          <w:szCs w:val="22"/>
        </w:rPr>
        <w:t xml:space="preserve">de 98%. A la auscultación cardiopulmonar, destacan crepitantes </w:t>
      </w:r>
      <w:proofErr w:type="spellStart"/>
      <w:r w:rsidRPr="005E42A1">
        <w:rPr>
          <w:rFonts w:ascii="Arial" w:hAnsi="Arial" w:cs="Arial"/>
          <w:sz w:val="22"/>
          <w:szCs w:val="22"/>
        </w:rPr>
        <w:t>bibasales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tipo velcro.</w:t>
      </w:r>
    </w:p>
    <w:p w:rsidR="00B24F6D" w:rsidRPr="005E42A1" w:rsidRDefault="00B24F6D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La radiografía de tórax muestra afectación reticular de predomini</w:t>
      </w:r>
      <w:r w:rsidR="00727A44" w:rsidRPr="005E42A1">
        <w:rPr>
          <w:rFonts w:ascii="Arial" w:hAnsi="Arial" w:cs="Arial"/>
          <w:sz w:val="22"/>
          <w:szCs w:val="22"/>
        </w:rPr>
        <w:t>o en ambos lóbulos superiores con p</w:t>
      </w:r>
      <w:r w:rsidRPr="005E42A1">
        <w:rPr>
          <w:rFonts w:ascii="Arial" w:hAnsi="Arial" w:cs="Arial"/>
          <w:sz w:val="22"/>
          <w:szCs w:val="22"/>
        </w:rPr>
        <w:t>érdida de volumen de hemitórax izquierdo.</w:t>
      </w:r>
      <w:r w:rsidR="00241260" w:rsidRPr="005E42A1">
        <w:rPr>
          <w:rFonts w:ascii="Arial" w:hAnsi="Arial" w:cs="Arial"/>
          <w:sz w:val="22"/>
          <w:szCs w:val="22"/>
        </w:rPr>
        <w:t xml:space="preserve"> Analíticamente, no presenta ninguna alteración</w:t>
      </w:r>
      <w:r w:rsidR="007A25C9" w:rsidRPr="005E42A1">
        <w:rPr>
          <w:rFonts w:ascii="Arial" w:hAnsi="Arial" w:cs="Arial"/>
          <w:sz w:val="22"/>
          <w:szCs w:val="22"/>
        </w:rPr>
        <w:t>, incluida toda la batería de autoinmunidad</w:t>
      </w:r>
      <w:r w:rsidR="00241260" w:rsidRPr="005E42A1">
        <w:rPr>
          <w:rFonts w:ascii="Arial" w:hAnsi="Arial" w:cs="Arial"/>
          <w:sz w:val="22"/>
          <w:szCs w:val="22"/>
        </w:rPr>
        <w:t>.</w:t>
      </w:r>
    </w:p>
    <w:p w:rsidR="00707663" w:rsidRPr="005E42A1" w:rsidRDefault="000446E1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Se solicitan pruebas de función respiratoria, donde se evidencia restricción moderada con DLCO reducida (FEV1 71%, FVC 71%, FEV1/FVC 60%, TLC 66%, DLCO 62%).</w:t>
      </w:r>
      <w:r w:rsidR="006B12FE" w:rsidRPr="005E42A1">
        <w:rPr>
          <w:rFonts w:ascii="Arial" w:hAnsi="Arial" w:cs="Arial"/>
          <w:sz w:val="22"/>
          <w:szCs w:val="22"/>
        </w:rPr>
        <w:t xml:space="preserve"> Al realizar el test de la marcha de </w:t>
      </w:r>
      <w:r w:rsidR="00586532" w:rsidRPr="005E42A1">
        <w:rPr>
          <w:rFonts w:ascii="Arial" w:hAnsi="Arial" w:cs="Arial"/>
          <w:sz w:val="22"/>
          <w:szCs w:val="22"/>
        </w:rPr>
        <w:t xml:space="preserve">6 minutos, el paciente presenta </w:t>
      </w:r>
      <w:proofErr w:type="spellStart"/>
      <w:r w:rsidR="006B12FE" w:rsidRPr="005E42A1">
        <w:rPr>
          <w:rFonts w:ascii="Arial" w:hAnsi="Arial" w:cs="Arial"/>
          <w:sz w:val="22"/>
          <w:szCs w:val="22"/>
        </w:rPr>
        <w:t>desaturación</w:t>
      </w:r>
      <w:proofErr w:type="spellEnd"/>
      <w:r w:rsidR="006B12FE" w:rsidRPr="005E42A1">
        <w:rPr>
          <w:rFonts w:ascii="Arial" w:hAnsi="Arial" w:cs="Arial"/>
          <w:sz w:val="22"/>
          <w:szCs w:val="22"/>
        </w:rPr>
        <w:t xml:space="preserve"> significativa, recorre una distancia inferior a su teórica y presenta disnea moderada al final de la prueba.</w:t>
      </w:r>
      <w:r w:rsidR="00333087" w:rsidRPr="005E42A1">
        <w:rPr>
          <w:rFonts w:ascii="Arial" w:hAnsi="Arial" w:cs="Arial"/>
          <w:sz w:val="22"/>
          <w:szCs w:val="22"/>
        </w:rPr>
        <w:t xml:space="preserve"> </w:t>
      </w:r>
    </w:p>
    <w:p w:rsidR="0030266F" w:rsidRPr="005E42A1" w:rsidRDefault="00333087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Se realiza una Tomografía Axial Computarizada de Alta Resolución (TACAR), donde se observa</w:t>
      </w:r>
      <w:r w:rsidR="004B26FB" w:rsidRPr="005E42A1">
        <w:rPr>
          <w:rFonts w:ascii="Arial" w:hAnsi="Arial" w:cs="Arial"/>
          <w:sz w:val="22"/>
          <w:szCs w:val="22"/>
        </w:rPr>
        <w:t xml:space="preserve"> a</w:t>
      </w:r>
      <w:r w:rsidR="00342BB1" w:rsidRPr="005E42A1">
        <w:rPr>
          <w:rFonts w:ascii="Arial" w:hAnsi="Arial" w:cs="Arial"/>
          <w:sz w:val="22"/>
          <w:szCs w:val="22"/>
        </w:rPr>
        <w:t>fectación parenquimatosa difusa</w:t>
      </w:r>
      <w:r w:rsidR="004B26FB" w:rsidRPr="005E42A1">
        <w:rPr>
          <w:rFonts w:ascii="Arial" w:hAnsi="Arial" w:cs="Arial"/>
          <w:sz w:val="22"/>
          <w:szCs w:val="22"/>
        </w:rPr>
        <w:t xml:space="preserve"> con una mayor reducción de volumen en el hemitórax izqu</w:t>
      </w:r>
      <w:r w:rsidR="00342BB1" w:rsidRPr="005E42A1">
        <w:rPr>
          <w:rFonts w:ascii="Arial" w:hAnsi="Arial" w:cs="Arial"/>
          <w:sz w:val="22"/>
          <w:szCs w:val="22"/>
        </w:rPr>
        <w:t>ierdo. O</w:t>
      </w:r>
      <w:r w:rsidR="004B26FB" w:rsidRPr="005E42A1">
        <w:rPr>
          <w:rFonts w:ascii="Arial" w:hAnsi="Arial" w:cs="Arial"/>
          <w:sz w:val="22"/>
          <w:szCs w:val="22"/>
        </w:rPr>
        <w:t xml:space="preserve">pacidades reticulares con bronquiectasias y </w:t>
      </w:r>
      <w:proofErr w:type="spellStart"/>
      <w:r w:rsidR="004B26FB" w:rsidRPr="005E42A1">
        <w:rPr>
          <w:rFonts w:ascii="Arial" w:hAnsi="Arial" w:cs="Arial"/>
          <w:sz w:val="22"/>
          <w:szCs w:val="22"/>
        </w:rPr>
        <w:t>bronquiolectasias</w:t>
      </w:r>
      <w:proofErr w:type="spellEnd"/>
      <w:r w:rsidR="004B26FB" w:rsidRPr="005E42A1">
        <w:rPr>
          <w:rFonts w:ascii="Arial" w:hAnsi="Arial" w:cs="Arial"/>
          <w:sz w:val="22"/>
          <w:szCs w:val="22"/>
        </w:rPr>
        <w:t xml:space="preserve"> de tracción de localización </w:t>
      </w:r>
      <w:proofErr w:type="spellStart"/>
      <w:r w:rsidR="004B26FB" w:rsidRPr="005E42A1">
        <w:rPr>
          <w:rFonts w:ascii="Arial" w:hAnsi="Arial" w:cs="Arial"/>
          <w:sz w:val="22"/>
          <w:szCs w:val="22"/>
        </w:rPr>
        <w:t>subpleural</w:t>
      </w:r>
      <w:proofErr w:type="spellEnd"/>
      <w:r w:rsidR="004B26FB" w:rsidRPr="005E42A1">
        <w:rPr>
          <w:rFonts w:ascii="Arial" w:hAnsi="Arial" w:cs="Arial"/>
          <w:sz w:val="22"/>
          <w:szCs w:val="22"/>
        </w:rPr>
        <w:t xml:space="preserve"> con extensión </w:t>
      </w:r>
      <w:proofErr w:type="spellStart"/>
      <w:r w:rsidR="004B26FB" w:rsidRPr="005E42A1">
        <w:rPr>
          <w:rFonts w:ascii="Arial" w:hAnsi="Arial" w:cs="Arial"/>
          <w:sz w:val="22"/>
          <w:szCs w:val="22"/>
        </w:rPr>
        <w:t>peribroncovascular</w:t>
      </w:r>
      <w:proofErr w:type="spellEnd"/>
      <w:r w:rsidR="004B26FB" w:rsidRPr="005E42A1">
        <w:rPr>
          <w:rFonts w:ascii="Arial" w:hAnsi="Arial" w:cs="Arial"/>
          <w:sz w:val="22"/>
          <w:szCs w:val="22"/>
        </w:rPr>
        <w:t xml:space="preserve"> en los segmentos anteriores de amb</w:t>
      </w:r>
      <w:r w:rsidR="00055216">
        <w:rPr>
          <w:rFonts w:ascii="Arial" w:hAnsi="Arial" w:cs="Arial"/>
          <w:sz w:val="22"/>
          <w:szCs w:val="22"/>
        </w:rPr>
        <w:t xml:space="preserve">os lóbulos superiores y </w:t>
      </w:r>
      <w:proofErr w:type="spellStart"/>
      <w:r w:rsidR="00055216">
        <w:rPr>
          <w:rFonts w:ascii="Arial" w:hAnsi="Arial" w:cs="Arial"/>
          <w:sz w:val="22"/>
          <w:szCs w:val="22"/>
        </w:rPr>
        <w:t>língula</w:t>
      </w:r>
      <w:proofErr w:type="spellEnd"/>
      <w:r w:rsidR="004B26FB" w:rsidRPr="005E42A1">
        <w:rPr>
          <w:rFonts w:ascii="Arial" w:hAnsi="Arial" w:cs="Arial"/>
          <w:sz w:val="22"/>
          <w:szCs w:val="22"/>
        </w:rPr>
        <w:t>.</w:t>
      </w:r>
      <w:r w:rsidR="00342BB1" w:rsidRPr="005E42A1">
        <w:rPr>
          <w:rFonts w:ascii="Arial" w:hAnsi="Arial" w:cs="Arial"/>
          <w:sz w:val="22"/>
          <w:szCs w:val="22"/>
        </w:rPr>
        <w:t xml:space="preserve"> Los h</w:t>
      </w:r>
      <w:r w:rsidR="004B26FB" w:rsidRPr="005E42A1">
        <w:rPr>
          <w:rFonts w:ascii="Arial" w:hAnsi="Arial" w:cs="Arial"/>
          <w:sz w:val="22"/>
          <w:szCs w:val="22"/>
        </w:rPr>
        <w:t>allazgos</w:t>
      </w:r>
      <w:r w:rsidR="00342BB1" w:rsidRPr="005E42A1">
        <w:rPr>
          <w:rFonts w:ascii="Arial" w:hAnsi="Arial" w:cs="Arial"/>
          <w:sz w:val="22"/>
          <w:szCs w:val="22"/>
        </w:rPr>
        <w:t xml:space="preserve"> son</w:t>
      </w:r>
      <w:r w:rsidR="004B26FB" w:rsidRPr="005E42A1">
        <w:rPr>
          <w:rFonts w:ascii="Arial" w:hAnsi="Arial" w:cs="Arial"/>
          <w:sz w:val="22"/>
          <w:szCs w:val="22"/>
        </w:rPr>
        <w:t xml:space="preserve"> compatibles con probable </w:t>
      </w:r>
      <w:proofErr w:type="spellStart"/>
      <w:r w:rsidR="00727A44" w:rsidRPr="005E42A1">
        <w:rPr>
          <w:rFonts w:ascii="Arial" w:hAnsi="Arial" w:cs="Arial"/>
          <w:sz w:val="22"/>
          <w:szCs w:val="22"/>
        </w:rPr>
        <w:t>Neumonia</w:t>
      </w:r>
      <w:proofErr w:type="spellEnd"/>
      <w:r w:rsidR="00727A44" w:rsidRPr="005E42A1">
        <w:rPr>
          <w:rFonts w:ascii="Arial" w:hAnsi="Arial" w:cs="Arial"/>
          <w:sz w:val="22"/>
          <w:szCs w:val="22"/>
        </w:rPr>
        <w:t xml:space="preserve"> Intersticial Usual (</w:t>
      </w:r>
      <w:r w:rsidR="004B26FB" w:rsidRPr="005E42A1">
        <w:rPr>
          <w:rFonts w:ascii="Arial" w:hAnsi="Arial" w:cs="Arial"/>
          <w:sz w:val="22"/>
          <w:szCs w:val="22"/>
        </w:rPr>
        <w:t>NIU</w:t>
      </w:r>
      <w:r w:rsidR="00727A44" w:rsidRPr="005E42A1">
        <w:rPr>
          <w:rFonts w:ascii="Arial" w:hAnsi="Arial" w:cs="Arial"/>
          <w:sz w:val="22"/>
          <w:szCs w:val="22"/>
        </w:rPr>
        <w:t>)</w:t>
      </w:r>
      <w:r w:rsidR="006D453A">
        <w:rPr>
          <w:rFonts w:ascii="Arial" w:hAnsi="Arial" w:cs="Arial"/>
          <w:sz w:val="22"/>
          <w:szCs w:val="22"/>
        </w:rPr>
        <w:t xml:space="preserve"> (Figura 2)</w:t>
      </w:r>
      <w:r w:rsidR="004B26FB" w:rsidRPr="005E42A1">
        <w:rPr>
          <w:rFonts w:ascii="Arial" w:hAnsi="Arial" w:cs="Arial"/>
          <w:sz w:val="22"/>
          <w:szCs w:val="22"/>
        </w:rPr>
        <w:t xml:space="preserve">. </w:t>
      </w:r>
    </w:p>
    <w:p w:rsidR="00876478" w:rsidRPr="005E42A1" w:rsidRDefault="00876478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realiza aspirado y lavado </w:t>
      </w:r>
      <w:proofErr w:type="spellStart"/>
      <w:r w:rsidRPr="005E42A1">
        <w:rPr>
          <w:rFonts w:ascii="Arial" w:hAnsi="Arial" w:cs="Arial"/>
          <w:sz w:val="22"/>
          <w:szCs w:val="22"/>
        </w:rPr>
        <w:t>broncoalveolar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con resultado negativo para bacterias, </w:t>
      </w:r>
      <w:proofErr w:type="spellStart"/>
      <w:r w:rsidRPr="005E42A1">
        <w:rPr>
          <w:rFonts w:ascii="Arial" w:hAnsi="Arial" w:cs="Arial"/>
          <w:sz w:val="22"/>
          <w:szCs w:val="22"/>
        </w:rPr>
        <w:t>micobacterias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y hongos. </w:t>
      </w:r>
    </w:p>
    <w:p w:rsidR="00261F9E" w:rsidRPr="005E42A1" w:rsidRDefault="00D7643F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realiza TAC abdominal y </w:t>
      </w:r>
      <w:proofErr w:type="spellStart"/>
      <w:r w:rsidRPr="005E42A1">
        <w:rPr>
          <w:rFonts w:ascii="Arial" w:hAnsi="Arial" w:cs="Arial"/>
          <w:sz w:val="22"/>
          <w:szCs w:val="22"/>
        </w:rPr>
        <w:t>ecocardio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que no muestra alteraciones.</w:t>
      </w:r>
    </w:p>
    <w:p w:rsidR="00261F9E" w:rsidRPr="005E42A1" w:rsidRDefault="00261F9E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inicia tratamiento </w:t>
      </w:r>
      <w:proofErr w:type="spellStart"/>
      <w:r w:rsidRPr="005E42A1">
        <w:rPr>
          <w:rFonts w:ascii="Arial" w:hAnsi="Arial" w:cs="Arial"/>
          <w:sz w:val="22"/>
          <w:szCs w:val="22"/>
        </w:rPr>
        <w:t>antifibrótico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5E42A1">
        <w:rPr>
          <w:rFonts w:ascii="Arial" w:hAnsi="Arial" w:cs="Arial"/>
          <w:sz w:val="22"/>
          <w:szCs w:val="22"/>
        </w:rPr>
        <w:t>Ni</w:t>
      </w:r>
      <w:r w:rsidR="00174C78">
        <w:rPr>
          <w:rFonts w:ascii="Arial" w:hAnsi="Arial" w:cs="Arial"/>
          <w:sz w:val="22"/>
          <w:szCs w:val="22"/>
        </w:rPr>
        <w:t>n</w:t>
      </w:r>
      <w:r w:rsidRPr="005E42A1">
        <w:rPr>
          <w:rFonts w:ascii="Arial" w:hAnsi="Arial" w:cs="Arial"/>
          <w:sz w:val="22"/>
          <w:szCs w:val="22"/>
        </w:rPr>
        <w:t>tedanib</w:t>
      </w:r>
      <w:proofErr w:type="spellEnd"/>
      <w:r w:rsidR="00D7643F" w:rsidRPr="005E42A1">
        <w:rPr>
          <w:rFonts w:ascii="Arial" w:hAnsi="Arial" w:cs="Arial"/>
          <w:sz w:val="22"/>
          <w:szCs w:val="22"/>
        </w:rPr>
        <w:t xml:space="preserve"> con buena tolerancia</w:t>
      </w:r>
      <w:r w:rsidRPr="005E42A1">
        <w:rPr>
          <w:rFonts w:ascii="Arial" w:hAnsi="Arial" w:cs="Arial"/>
          <w:sz w:val="22"/>
          <w:szCs w:val="22"/>
        </w:rPr>
        <w:t>.</w:t>
      </w:r>
    </w:p>
    <w:p w:rsidR="00D7643F" w:rsidRPr="005E42A1" w:rsidRDefault="00D7643F" w:rsidP="00073806">
      <w:pPr>
        <w:jc w:val="both"/>
        <w:rPr>
          <w:rFonts w:ascii="Arial" w:hAnsi="Arial" w:cs="Arial"/>
          <w:sz w:val="22"/>
          <w:szCs w:val="22"/>
        </w:rPr>
      </w:pPr>
    </w:p>
    <w:p w:rsidR="00261F9E" w:rsidRPr="005E42A1" w:rsidRDefault="00261F9E" w:rsidP="00073806">
      <w:pPr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solicita estudio de </w:t>
      </w:r>
      <w:proofErr w:type="spellStart"/>
      <w:r w:rsidRPr="005E42A1">
        <w:rPr>
          <w:rFonts w:ascii="Arial" w:hAnsi="Arial" w:cs="Arial"/>
          <w:sz w:val="22"/>
          <w:szCs w:val="22"/>
        </w:rPr>
        <w:t>telómeros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E42A1">
        <w:rPr>
          <w:rFonts w:ascii="Arial" w:hAnsi="Arial" w:cs="Arial"/>
          <w:sz w:val="22"/>
          <w:szCs w:val="22"/>
        </w:rPr>
        <w:t>Advanced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Medical </w:t>
      </w:r>
      <w:proofErr w:type="spellStart"/>
      <w:r w:rsidRPr="005E42A1">
        <w:rPr>
          <w:rFonts w:ascii="Arial" w:hAnsi="Arial" w:cs="Arial"/>
          <w:sz w:val="22"/>
          <w:szCs w:val="22"/>
        </w:rPr>
        <w:t>Projects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(Madrid</w:t>
      </w:r>
      <w:r w:rsidR="00D67565" w:rsidRPr="005E42A1">
        <w:rPr>
          <w:rFonts w:ascii="Arial" w:hAnsi="Arial" w:cs="Arial"/>
          <w:sz w:val="22"/>
          <w:szCs w:val="22"/>
        </w:rPr>
        <w:t>) que muestra un percentil</w:t>
      </w:r>
      <w:r w:rsidRPr="005E42A1">
        <w:rPr>
          <w:rFonts w:ascii="Arial" w:hAnsi="Arial" w:cs="Arial"/>
          <w:sz w:val="22"/>
          <w:szCs w:val="22"/>
        </w:rPr>
        <w:t xml:space="preserve"> inferior al 10%. </w:t>
      </w:r>
    </w:p>
    <w:p w:rsidR="00D7643F" w:rsidRPr="005E42A1" w:rsidRDefault="00D7643F" w:rsidP="000738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realiza la secuenciación de los exones del gen DKC1, asociado a X-DC. </w:t>
      </w:r>
      <w:r w:rsidRPr="005E42A1">
        <w:rPr>
          <w:rFonts w:ascii="Arial" w:hAnsi="Arial" w:cs="Arial"/>
          <w:bCs/>
          <w:sz w:val="22"/>
          <w:szCs w:val="22"/>
        </w:rPr>
        <w:t xml:space="preserve">En este análisis genético se ha encontrado la variante patogénica (NM_001363.4) c.203A&gt;G; p.H86R en el exón 4 del gen </w:t>
      </w:r>
      <w:r w:rsidRPr="005A2C50">
        <w:rPr>
          <w:rFonts w:ascii="Arial" w:hAnsi="Arial" w:cs="Arial"/>
          <w:bCs/>
          <w:iCs/>
          <w:sz w:val="22"/>
          <w:szCs w:val="22"/>
        </w:rPr>
        <w:t>DKC1</w:t>
      </w:r>
      <w:r w:rsidRPr="005E42A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E42A1">
        <w:rPr>
          <w:rFonts w:ascii="Arial" w:hAnsi="Arial" w:cs="Arial"/>
          <w:bCs/>
          <w:sz w:val="22"/>
          <w:szCs w:val="22"/>
        </w:rPr>
        <w:t xml:space="preserve">en </w:t>
      </w:r>
      <w:proofErr w:type="spellStart"/>
      <w:r w:rsidRPr="005E42A1">
        <w:rPr>
          <w:rFonts w:ascii="Arial" w:hAnsi="Arial" w:cs="Arial"/>
          <w:bCs/>
          <w:sz w:val="22"/>
          <w:szCs w:val="22"/>
        </w:rPr>
        <w:t>homocigosis</w:t>
      </w:r>
      <w:proofErr w:type="spellEnd"/>
      <w:r w:rsidRPr="005E42A1">
        <w:rPr>
          <w:rFonts w:ascii="Arial" w:hAnsi="Arial" w:cs="Arial"/>
          <w:bCs/>
          <w:sz w:val="22"/>
          <w:szCs w:val="22"/>
        </w:rPr>
        <w:t xml:space="preserve">. </w:t>
      </w:r>
    </w:p>
    <w:p w:rsidR="007744CC" w:rsidRPr="005E42A1" w:rsidRDefault="007744CC" w:rsidP="000738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44CC" w:rsidRPr="005E42A1" w:rsidRDefault="007744CC" w:rsidP="000738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trata de una </w:t>
      </w:r>
      <w:proofErr w:type="spellStart"/>
      <w:r w:rsidRPr="005E42A1">
        <w:rPr>
          <w:rFonts w:ascii="Arial" w:hAnsi="Arial" w:cs="Arial"/>
          <w:sz w:val="22"/>
          <w:szCs w:val="22"/>
        </w:rPr>
        <w:t>neumopatia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intersticial usual con afectación leve-moderada (GAP 3, estadio I), asociada a </w:t>
      </w:r>
      <w:proofErr w:type="spellStart"/>
      <w:r w:rsidRPr="005E42A1">
        <w:rPr>
          <w:rFonts w:ascii="Arial" w:hAnsi="Arial" w:cs="Arial"/>
          <w:sz w:val="22"/>
          <w:szCs w:val="22"/>
        </w:rPr>
        <w:t>disqueratosis</w:t>
      </w:r>
      <w:proofErr w:type="spellEnd"/>
      <w:r w:rsidRPr="005E42A1">
        <w:rPr>
          <w:rFonts w:ascii="Arial" w:hAnsi="Arial" w:cs="Arial"/>
          <w:sz w:val="22"/>
          <w:szCs w:val="22"/>
        </w:rPr>
        <w:t xml:space="preserve"> congénita con afectación hematológica y cutánea con </w:t>
      </w:r>
      <w:r w:rsidR="00C16D56">
        <w:rPr>
          <w:rFonts w:ascii="Arial" w:hAnsi="Arial" w:cs="Arial"/>
          <w:sz w:val="22"/>
          <w:szCs w:val="22"/>
        </w:rPr>
        <w:t xml:space="preserve">acortamiento de </w:t>
      </w:r>
      <w:proofErr w:type="spellStart"/>
      <w:r w:rsidR="00C16D56">
        <w:rPr>
          <w:rFonts w:ascii="Arial" w:hAnsi="Arial" w:cs="Arial"/>
          <w:sz w:val="22"/>
          <w:szCs w:val="22"/>
        </w:rPr>
        <w:t>telómeros</w:t>
      </w:r>
      <w:proofErr w:type="spellEnd"/>
      <w:r w:rsidRPr="005E42A1">
        <w:rPr>
          <w:rFonts w:ascii="Arial" w:hAnsi="Arial" w:cs="Arial"/>
          <w:sz w:val="22"/>
          <w:szCs w:val="22"/>
        </w:rPr>
        <w:t>.</w:t>
      </w:r>
    </w:p>
    <w:p w:rsidR="007744CC" w:rsidRPr="005E42A1" w:rsidRDefault="007744CC" w:rsidP="000738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3B72" w:rsidRPr="007B3B72" w:rsidRDefault="00DA219C" w:rsidP="000738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</w:rPr>
        <w:t>En los últimos tres meses,</w:t>
      </w:r>
      <w:r w:rsidR="007744CC" w:rsidRPr="005E42A1">
        <w:rPr>
          <w:rFonts w:ascii="Arial" w:hAnsi="Arial" w:cs="Arial"/>
          <w:sz w:val="22"/>
          <w:szCs w:val="22"/>
        </w:rPr>
        <w:t xml:space="preserve"> el paciente presenta progresión f</w:t>
      </w:r>
      <w:r w:rsidR="001221C8" w:rsidRPr="005E42A1">
        <w:rPr>
          <w:rFonts w:ascii="Arial" w:hAnsi="Arial" w:cs="Arial"/>
          <w:sz w:val="22"/>
          <w:szCs w:val="22"/>
        </w:rPr>
        <w:t>uncional (</w:t>
      </w:r>
      <w:r w:rsidR="00684EFD" w:rsidRPr="005E42A1">
        <w:rPr>
          <w:rFonts w:ascii="Arial" w:hAnsi="Arial" w:cs="Arial"/>
          <w:sz w:val="22"/>
          <w:szCs w:val="22"/>
        </w:rPr>
        <w:t>FVC 57% y DLCO 26</w:t>
      </w:r>
      <w:r w:rsidR="008A105A">
        <w:rPr>
          <w:rFonts w:ascii="Arial" w:hAnsi="Arial" w:cs="Arial"/>
          <w:sz w:val="22"/>
          <w:szCs w:val="22"/>
        </w:rPr>
        <w:t>%</w:t>
      </w:r>
      <w:r w:rsidR="00055216">
        <w:rPr>
          <w:rFonts w:ascii="Arial" w:hAnsi="Arial" w:cs="Arial"/>
          <w:sz w:val="22"/>
          <w:szCs w:val="22"/>
        </w:rPr>
        <w:t>) y radiológico</w:t>
      </w:r>
      <w:r w:rsidR="00D67565" w:rsidRPr="005E42A1">
        <w:rPr>
          <w:rFonts w:ascii="Arial" w:hAnsi="Arial" w:cs="Arial"/>
          <w:sz w:val="22"/>
          <w:szCs w:val="22"/>
        </w:rPr>
        <w:t xml:space="preserve"> en TACAR</w:t>
      </w:r>
      <w:r w:rsidR="00055216">
        <w:rPr>
          <w:rFonts w:ascii="Arial" w:hAnsi="Arial" w:cs="Arial"/>
          <w:sz w:val="22"/>
          <w:szCs w:val="22"/>
        </w:rPr>
        <w:t xml:space="preserve"> </w:t>
      </w:r>
      <w:r w:rsidR="00055216" w:rsidRPr="007B3B72">
        <w:rPr>
          <w:rFonts w:ascii="Arial" w:hAnsi="Arial" w:cs="Arial"/>
          <w:sz w:val="22"/>
          <w:szCs w:val="22"/>
        </w:rPr>
        <w:t>(</w:t>
      </w:r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signos de </w:t>
      </w:r>
      <w:proofErr w:type="spellStart"/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>panalización</w:t>
      </w:r>
      <w:proofErr w:type="spellEnd"/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con múltiples quistes de predominio en lóbulos</w:t>
      </w:r>
      <w:r w:rsidR="00174C78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>superiores y en pulmón izquierdo.</w:t>
      </w:r>
      <w:r w:rsidR="007B3B72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Engrosamiento nodular irregular </w:t>
      </w:r>
      <w:proofErr w:type="spellStart"/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>subpleural</w:t>
      </w:r>
      <w:proofErr w:type="spellEnd"/>
      <w:r w:rsidR="00055216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>, en segmento poster</w:t>
      </w:r>
      <w:r w:rsidR="007B3B72" w:rsidRPr="007B3B72">
        <w:rPr>
          <w:rFonts w:ascii="Arial" w:eastAsiaTheme="minorHAnsi" w:hAnsi="Arial" w:cs="Arial"/>
          <w:sz w:val="22"/>
          <w:szCs w:val="22"/>
          <w:lang w:val="es-ES_tradnl" w:eastAsia="en-US"/>
        </w:rPr>
        <w:t>ior del lóbulo superior derecho y aumento de calibre de la arteria pulmonar sugerente de hipertensión pulmonar)</w:t>
      </w:r>
      <w:r w:rsidR="006D453A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(Figura 3).</w:t>
      </w:r>
    </w:p>
    <w:p w:rsidR="00EF071C" w:rsidRDefault="00431560" w:rsidP="005E42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 rápida</w:t>
      </w:r>
      <w:r w:rsidR="003B730F">
        <w:rPr>
          <w:rFonts w:ascii="Arial" w:hAnsi="Arial" w:cs="Arial"/>
          <w:sz w:val="22"/>
          <w:szCs w:val="22"/>
          <w:lang w:val="es-ES_tradnl"/>
        </w:rPr>
        <w:t xml:space="preserve"> y pésima</w:t>
      </w:r>
      <w:r>
        <w:rPr>
          <w:rFonts w:ascii="Arial" w:hAnsi="Arial" w:cs="Arial"/>
          <w:sz w:val="22"/>
          <w:szCs w:val="22"/>
          <w:lang w:val="es-ES_tradnl"/>
        </w:rPr>
        <w:t xml:space="preserve"> evolución, </w:t>
      </w:r>
      <w:r w:rsidR="003B730F">
        <w:rPr>
          <w:rFonts w:ascii="Arial" w:hAnsi="Arial" w:cs="Arial"/>
          <w:sz w:val="22"/>
          <w:szCs w:val="22"/>
          <w:lang w:val="es-ES_tradnl"/>
        </w:rPr>
        <w:t>empeora la respuesta terap</w:t>
      </w:r>
      <w:r w:rsidR="00C84302">
        <w:rPr>
          <w:rFonts w:ascii="Arial" w:hAnsi="Arial" w:cs="Arial"/>
          <w:sz w:val="22"/>
          <w:szCs w:val="22"/>
          <w:lang w:val="es-ES_tradnl"/>
        </w:rPr>
        <w:t xml:space="preserve">éutica, por lo que </w:t>
      </w:r>
      <w:r w:rsidR="003B730F">
        <w:rPr>
          <w:rFonts w:ascii="Arial" w:hAnsi="Arial" w:cs="Arial"/>
          <w:sz w:val="22"/>
          <w:szCs w:val="22"/>
          <w:lang w:val="es-ES_tradnl"/>
        </w:rPr>
        <w:t>a</w:t>
      </w:r>
      <w:proofErr w:type="spellStart"/>
      <w:r w:rsidR="00D67565" w:rsidRPr="005E42A1">
        <w:rPr>
          <w:rFonts w:ascii="Arial" w:hAnsi="Arial" w:cs="Arial"/>
          <w:sz w:val="22"/>
          <w:szCs w:val="22"/>
        </w:rPr>
        <w:t>ctualmente</w:t>
      </w:r>
      <w:proofErr w:type="spellEnd"/>
      <w:r w:rsidR="00D67565" w:rsidRPr="005E42A1">
        <w:rPr>
          <w:rFonts w:ascii="Arial" w:hAnsi="Arial" w:cs="Arial"/>
          <w:sz w:val="22"/>
          <w:szCs w:val="22"/>
        </w:rPr>
        <w:t xml:space="preserve">, está pendiente de </w:t>
      </w:r>
      <w:r w:rsidR="00177D09">
        <w:rPr>
          <w:rFonts w:ascii="Arial" w:hAnsi="Arial" w:cs="Arial"/>
          <w:sz w:val="22"/>
          <w:szCs w:val="22"/>
        </w:rPr>
        <w:t>valoración por la Unidad de tra</w:t>
      </w:r>
      <w:r w:rsidR="00D67565" w:rsidRPr="005E42A1">
        <w:rPr>
          <w:rFonts w:ascii="Arial" w:hAnsi="Arial" w:cs="Arial"/>
          <w:sz w:val="22"/>
          <w:szCs w:val="22"/>
        </w:rPr>
        <w:t>splante pulm</w:t>
      </w:r>
      <w:r w:rsidR="00174C78">
        <w:rPr>
          <w:rFonts w:ascii="Arial" w:hAnsi="Arial" w:cs="Arial"/>
          <w:sz w:val="22"/>
          <w:szCs w:val="22"/>
        </w:rPr>
        <w:t xml:space="preserve">onar </w:t>
      </w:r>
      <w:r w:rsidR="002E3E98">
        <w:rPr>
          <w:rFonts w:ascii="Arial" w:hAnsi="Arial" w:cs="Arial"/>
          <w:sz w:val="22"/>
          <w:szCs w:val="22"/>
        </w:rPr>
        <w:t>de referencia.</w:t>
      </w:r>
    </w:p>
    <w:p w:rsidR="005A2C50" w:rsidRDefault="005A2C50" w:rsidP="005E42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744CC" w:rsidRPr="005E42A1" w:rsidRDefault="00DA3697" w:rsidP="005E42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E42A1">
        <w:rPr>
          <w:rFonts w:ascii="Arial" w:hAnsi="Arial" w:cs="Arial"/>
          <w:b/>
          <w:sz w:val="22"/>
          <w:szCs w:val="22"/>
        </w:rPr>
        <w:lastRenderedPageBreak/>
        <w:t>DISCUSIÓN</w:t>
      </w:r>
    </w:p>
    <w:p w:rsidR="0090202B" w:rsidRPr="005E42A1" w:rsidRDefault="00DA3697" w:rsidP="005E4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La DC</w:t>
      </w:r>
      <w:r w:rsidR="002F37B1" w:rsidRPr="005E42A1">
        <w:rPr>
          <w:rFonts w:ascii="Arial" w:hAnsi="Arial" w:cs="Arial"/>
          <w:sz w:val="22"/>
          <w:szCs w:val="22"/>
        </w:rPr>
        <w:t xml:space="preserve">, también conocida como el </w:t>
      </w:r>
      <w:r w:rsidR="00174C78" w:rsidRPr="005E42A1">
        <w:rPr>
          <w:rFonts w:ascii="Arial" w:hAnsi="Arial" w:cs="Arial"/>
          <w:sz w:val="22"/>
          <w:szCs w:val="22"/>
        </w:rPr>
        <w:t>Sí</w:t>
      </w:r>
      <w:r w:rsidR="00174C78">
        <w:rPr>
          <w:rFonts w:ascii="Arial" w:hAnsi="Arial" w:cs="Arial"/>
          <w:sz w:val="22"/>
          <w:szCs w:val="22"/>
        </w:rPr>
        <w:t>n</w:t>
      </w:r>
      <w:r w:rsidR="00174C78" w:rsidRPr="005E42A1">
        <w:rPr>
          <w:rFonts w:ascii="Arial" w:hAnsi="Arial" w:cs="Arial"/>
          <w:sz w:val="22"/>
          <w:szCs w:val="22"/>
        </w:rPr>
        <w:t>drome</w:t>
      </w:r>
      <w:r w:rsidR="002F37B1" w:rsidRPr="005E42A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F37B1" w:rsidRPr="005E42A1">
        <w:rPr>
          <w:rFonts w:ascii="Arial" w:hAnsi="Arial" w:cs="Arial"/>
          <w:color w:val="131413"/>
          <w:sz w:val="22"/>
          <w:szCs w:val="22"/>
        </w:rPr>
        <w:t>Zinsser</w:t>
      </w:r>
      <w:proofErr w:type="spellEnd"/>
      <w:r w:rsidR="002F37B1" w:rsidRPr="005E42A1">
        <w:rPr>
          <w:rFonts w:ascii="Arial" w:hAnsi="Arial" w:cs="Arial"/>
          <w:color w:val="131413"/>
          <w:sz w:val="22"/>
          <w:szCs w:val="22"/>
        </w:rPr>
        <w:t xml:space="preserve"> Cole-</w:t>
      </w:r>
      <w:proofErr w:type="spellStart"/>
      <w:r w:rsidR="002F37B1" w:rsidRPr="005E42A1">
        <w:rPr>
          <w:rFonts w:ascii="Arial" w:hAnsi="Arial" w:cs="Arial"/>
          <w:color w:val="131413"/>
          <w:sz w:val="22"/>
          <w:szCs w:val="22"/>
        </w:rPr>
        <w:t>Engman</w:t>
      </w:r>
      <w:proofErr w:type="spellEnd"/>
      <w:r w:rsidR="002F37B1" w:rsidRPr="005E42A1">
        <w:rPr>
          <w:rFonts w:ascii="Arial" w:hAnsi="Arial" w:cs="Arial"/>
          <w:color w:val="131413"/>
          <w:sz w:val="22"/>
          <w:szCs w:val="22"/>
        </w:rPr>
        <w:t>,</w:t>
      </w:r>
      <w:r w:rsidRPr="005E42A1">
        <w:rPr>
          <w:rFonts w:ascii="Arial" w:hAnsi="Arial" w:cs="Arial"/>
          <w:sz w:val="22"/>
          <w:szCs w:val="22"/>
        </w:rPr>
        <w:t xml:space="preserve"> es una rara enfermedad hereditaria</w:t>
      </w:r>
      <w:r w:rsidR="00011E63" w:rsidRPr="005E42A1">
        <w:rPr>
          <w:rFonts w:ascii="Arial" w:hAnsi="Arial" w:cs="Arial"/>
          <w:sz w:val="22"/>
          <w:szCs w:val="22"/>
        </w:rPr>
        <w:t xml:space="preserve"> con afectación </w:t>
      </w:r>
      <w:proofErr w:type="spellStart"/>
      <w:r w:rsidR="00011E63" w:rsidRPr="005E42A1">
        <w:rPr>
          <w:rFonts w:ascii="Arial" w:hAnsi="Arial" w:cs="Arial"/>
          <w:sz w:val="22"/>
          <w:szCs w:val="22"/>
        </w:rPr>
        <w:t>multisistémica</w:t>
      </w:r>
      <w:proofErr w:type="spellEnd"/>
      <w:r w:rsidR="00011E63" w:rsidRPr="005E42A1">
        <w:rPr>
          <w:rFonts w:ascii="Arial" w:hAnsi="Arial" w:cs="Arial"/>
          <w:sz w:val="22"/>
          <w:szCs w:val="22"/>
        </w:rPr>
        <w:t>.</w:t>
      </w:r>
      <w:r w:rsidR="00963EB5" w:rsidRPr="005E42A1">
        <w:rPr>
          <w:rFonts w:ascii="Arial" w:hAnsi="Arial" w:cs="Arial"/>
          <w:sz w:val="22"/>
          <w:szCs w:val="22"/>
        </w:rPr>
        <w:t xml:space="preserve"> Al menos 12 genes han sido implicados en la patogénesis de la enfermedad; el gen de </w:t>
      </w:r>
      <w:r w:rsidR="00177D09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177D09">
        <w:rPr>
          <w:rFonts w:ascii="Arial" w:hAnsi="Arial" w:cs="Arial"/>
          <w:sz w:val="22"/>
          <w:szCs w:val="22"/>
        </w:rPr>
        <w:t>dyskerina</w:t>
      </w:r>
      <w:proofErr w:type="spellEnd"/>
      <w:r w:rsidR="00177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09">
        <w:rPr>
          <w:rFonts w:ascii="Arial" w:hAnsi="Arial" w:cs="Arial"/>
          <w:sz w:val="22"/>
          <w:szCs w:val="22"/>
        </w:rPr>
        <w:t>pseudouridina</w:t>
      </w:r>
      <w:proofErr w:type="spellEnd"/>
      <w:r w:rsidR="00177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09">
        <w:rPr>
          <w:rFonts w:ascii="Arial" w:hAnsi="Arial" w:cs="Arial"/>
          <w:sz w:val="22"/>
          <w:szCs w:val="22"/>
        </w:rPr>
        <w:t>sinteta</w:t>
      </w:r>
      <w:r w:rsidR="00963EB5" w:rsidRPr="005E42A1">
        <w:rPr>
          <w:rFonts w:ascii="Arial" w:hAnsi="Arial" w:cs="Arial"/>
          <w:sz w:val="22"/>
          <w:szCs w:val="22"/>
        </w:rPr>
        <w:t>sa</w:t>
      </w:r>
      <w:proofErr w:type="spellEnd"/>
      <w:r w:rsidR="00963EB5" w:rsidRPr="005E42A1">
        <w:rPr>
          <w:rFonts w:ascii="Arial" w:hAnsi="Arial" w:cs="Arial"/>
          <w:sz w:val="22"/>
          <w:szCs w:val="22"/>
        </w:rPr>
        <w:t xml:space="preserve"> 1</w:t>
      </w:r>
      <w:r w:rsidR="00CC4770" w:rsidRPr="005E42A1">
        <w:rPr>
          <w:rFonts w:ascii="Arial" w:hAnsi="Arial" w:cs="Arial"/>
          <w:sz w:val="22"/>
          <w:szCs w:val="22"/>
        </w:rPr>
        <w:t xml:space="preserve"> </w:t>
      </w:r>
      <w:r w:rsidR="00963EB5" w:rsidRPr="005E42A1">
        <w:rPr>
          <w:rFonts w:ascii="Arial" w:hAnsi="Arial" w:cs="Arial"/>
          <w:sz w:val="22"/>
          <w:szCs w:val="22"/>
        </w:rPr>
        <w:t>(DKC1) es el más común</w:t>
      </w:r>
      <w:r w:rsidR="00CC4770" w:rsidRPr="005E42A1">
        <w:rPr>
          <w:rFonts w:ascii="Arial" w:hAnsi="Arial" w:cs="Arial"/>
          <w:sz w:val="22"/>
          <w:szCs w:val="22"/>
        </w:rPr>
        <w:t xml:space="preserve"> (</w:t>
      </w:r>
      <w:r w:rsidR="00AF342E" w:rsidRPr="005E42A1">
        <w:rPr>
          <w:rFonts w:ascii="Arial" w:hAnsi="Arial" w:cs="Arial"/>
          <w:sz w:val="22"/>
          <w:szCs w:val="22"/>
        </w:rPr>
        <w:t>30</w:t>
      </w:r>
      <w:r w:rsidR="00CC4770" w:rsidRPr="005E42A1">
        <w:rPr>
          <w:rFonts w:ascii="Arial" w:hAnsi="Arial" w:cs="Arial"/>
          <w:sz w:val="22"/>
          <w:szCs w:val="22"/>
        </w:rPr>
        <w:t>%)</w:t>
      </w:r>
      <w:r w:rsidR="0090202B" w:rsidRPr="00F20786">
        <w:rPr>
          <w:rFonts w:ascii="Arial" w:hAnsi="Arial" w:cs="Arial"/>
          <w:sz w:val="22"/>
          <w:szCs w:val="22"/>
          <w:vertAlign w:val="superscript"/>
        </w:rPr>
        <w:t>1</w:t>
      </w:r>
      <w:r w:rsidR="00963EB5" w:rsidRPr="00F20786">
        <w:rPr>
          <w:rFonts w:ascii="Arial" w:hAnsi="Arial" w:cs="Arial"/>
          <w:sz w:val="22"/>
          <w:szCs w:val="22"/>
        </w:rPr>
        <w:t>.</w:t>
      </w:r>
      <w:r w:rsidR="00963EB5" w:rsidRPr="005E42A1">
        <w:rPr>
          <w:rFonts w:ascii="Arial" w:hAnsi="Arial" w:cs="Arial"/>
          <w:sz w:val="22"/>
          <w:szCs w:val="22"/>
        </w:rPr>
        <w:t xml:space="preserve"> </w:t>
      </w:r>
    </w:p>
    <w:p w:rsidR="00234E52" w:rsidRPr="005E42A1" w:rsidRDefault="009A7A25" w:rsidP="005E42A1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5E42A1">
        <w:rPr>
          <w:rFonts w:ascii="Arial" w:hAnsi="Arial" w:cs="Arial"/>
          <w:color w:val="232323"/>
          <w:sz w:val="22"/>
          <w:szCs w:val="22"/>
        </w:rPr>
        <w:t xml:space="preserve">Este gen es responsable de la biogénesis del ribosoma y del mantenimiento de los </w:t>
      </w:r>
      <w:proofErr w:type="spellStart"/>
      <w:r w:rsidRPr="005E42A1">
        <w:rPr>
          <w:rFonts w:ascii="Arial" w:hAnsi="Arial" w:cs="Arial"/>
          <w:color w:val="232323"/>
          <w:sz w:val="22"/>
          <w:szCs w:val="22"/>
        </w:rPr>
        <w:t>telómeros</w:t>
      </w:r>
      <w:proofErr w:type="spellEnd"/>
      <w:r w:rsidRPr="005E42A1">
        <w:rPr>
          <w:rFonts w:ascii="Arial" w:hAnsi="Arial" w:cs="Arial"/>
          <w:color w:val="232323"/>
          <w:sz w:val="22"/>
          <w:szCs w:val="22"/>
        </w:rPr>
        <w:t>. Lo cual resulta en un acortamiento aberrante de los mismos, muerte celular progresiva e inestabili</w:t>
      </w:r>
      <w:r w:rsidR="00177D09">
        <w:rPr>
          <w:rFonts w:ascii="Arial" w:hAnsi="Arial" w:cs="Arial"/>
          <w:color w:val="232323"/>
          <w:sz w:val="22"/>
          <w:szCs w:val="22"/>
        </w:rPr>
        <w:t>d</w:t>
      </w:r>
      <w:r w:rsidRPr="005E42A1">
        <w:rPr>
          <w:rFonts w:ascii="Arial" w:hAnsi="Arial" w:cs="Arial"/>
          <w:color w:val="232323"/>
          <w:sz w:val="22"/>
          <w:szCs w:val="22"/>
        </w:rPr>
        <w:t>ad cromosómica.</w:t>
      </w:r>
      <w:r w:rsidR="001471F4" w:rsidRPr="005E42A1">
        <w:rPr>
          <w:rFonts w:ascii="Arial" w:hAnsi="Arial" w:cs="Arial"/>
          <w:sz w:val="15"/>
          <w:szCs w:val="15"/>
        </w:rPr>
        <w:t xml:space="preserve"> </w:t>
      </w:r>
    </w:p>
    <w:p w:rsidR="005E42A1" w:rsidRDefault="00CC4770" w:rsidP="008609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 xml:space="preserve">Se han encontrado tres variantes genéticas con </w:t>
      </w:r>
      <w:r w:rsidR="00106CCE" w:rsidRPr="005E42A1">
        <w:rPr>
          <w:rFonts w:ascii="Arial" w:hAnsi="Arial" w:cs="Arial"/>
          <w:sz w:val="22"/>
          <w:szCs w:val="22"/>
        </w:rPr>
        <w:t xml:space="preserve">diferente grado de </w:t>
      </w:r>
      <w:proofErr w:type="spellStart"/>
      <w:r w:rsidR="00106CCE" w:rsidRPr="005E42A1">
        <w:rPr>
          <w:rFonts w:ascii="Arial" w:hAnsi="Arial" w:cs="Arial"/>
          <w:sz w:val="22"/>
          <w:szCs w:val="22"/>
        </w:rPr>
        <w:t>penetrancia</w:t>
      </w:r>
      <w:proofErr w:type="spellEnd"/>
      <w:r w:rsidR="00106CCE" w:rsidRPr="005E42A1">
        <w:rPr>
          <w:rFonts w:ascii="Arial" w:hAnsi="Arial" w:cs="Arial"/>
          <w:sz w:val="22"/>
          <w:szCs w:val="22"/>
        </w:rPr>
        <w:t xml:space="preserve"> y </w:t>
      </w:r>
      <w:r w:rsidRPr="005E42A1">
        <w:rPr>
          <w:rFonts w:ascii="Arial" w:hAnsi="Arial" w:cs="Arial"/>
          <w:sz w:val="22"/>
          <w:szCs w:val="22"/>
        </w:rPr>
        <w:t>severidad: autosómica recesiva, ligada al cromosoma X y autosómica dominant</w:t>
      </w:r>
      <w:r w:rsidR="00A06D2E">
        <w:rPr>
          <w:rFonts w:ascii="Arial" w:hAnsi="Arial" w:cs="Arial"/>
          <w:sz w:val="22"/>
          <w:szCs w:val="22"/>
        </w:rPr>
        <w:t>e</w:t>
      </w:r>
      <w:r w:rsidR="00A06D2E">
        <w:rPr>
          <w:rFonts w:ascii="Arial" w:hAnsi="Arial" w:cs="Arial"/>
          <w:sz w:val="22"/>
          <w:szCs w:val="22"/>
          <w:vertAlign w:val="superscript"/>
        </w:rPr>
        <w:t>2</w:t>
      </w:r>
      <w:r w:rsidR="00B96661">
        <w:rPr>
          <w:rFonts w:ascii="Arial" w:hAnsi="Arial" w:cs="Arial"/>
          <w:sz w:val="22"/>
          <w:szCs w:val="22"/>
        </w:rPr>
        <w:t>.</w:t>
      </w:r>
    </w:p>
    <w:p w:rsidR="00011E63" w:rsidRPr="005E42A1" w:rsidRDefault="00CC4770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131413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Hasta e</w:t>
      </w:r>
      <w:r w:rsidR="00B82279" w:rsidRPr="005E42A1">
        <w:rPr>
          <w:rFonts w:ascii="Arial" w:hAnsi="Arial" w:cs="Arial"/>
          <w:sz w:val="22"/>
          <w:szCs w:val="22"/>
        </w:rPr>
        <w:t xml:space="preserve">n un </w:t>
      </w:r>
      <w:r w:rsidR="00234E52" w:rsidRPr="005E42A1">
        <w:rPr>
          <w:rFonts w:ascii="Arial" w:hAnsi="Arial" w:cs="Arial"/>
          <w:sz w:val="22"/>
          <w:szCs w:val="22"/>
        </w:rPr>
        <w:t>50</w:t>
      </w:r>
      <w:r w:rsidR="00B82279" w:rsidRPr="005E42A1">
        <w:rPr>
          <w:rFonts w:ascii="Arial" w:hAnsi="Arial" w:cs="Arial"/>
          <w:sz w:val="22"/>
          <w:szCs w:val="22"/>
        </w:rPr>
        <w:t>% no se llegan a identificar las variantes</w:t>
      </w:r>
      <w:r w:rsidRPr="005E42A1">
        <w:rPr>
          <w:rFonts w:ascii="Arial" w:hAnsi="Arial" w:cs="Arial"/>
          <w:sz w:val="22"/>
          <w:szCs w:val="22"/>
        </w:rPr>
        <w:t xml:space="preserve"> patogénicas del gen DKC1</w:t>
      </w:r>
      <w:r w:rsidR="00B82279" w:rsidRPr="005E42A1">
        <w:rPr>
          <w:rFonts w:ascii="Arial" w:hAnsi="Arial" w:cs="Arial"/>
          <w:sz w:val="22"/>
          <w:szCs w:val="22"/>
        </w:rPr>
        <w:t>.</w:t>
      </w:r>
      <w:r w:rsidR="0071501D" w:rsidRPr="005E42A1">
        <w:rPr>
          <w:rFonts w:ascii="Arial" w:hAnsi="Arial" w:cs="Arial"/>
          <w:color w:val="131413"/>
          <w:sz w:val="22"/>
          <w:szCs w:val="22"/>
        </w:rPr>
        <w:t xml:space="preserve"> </w:t>
      </w:r>
    </w:p>
    <w:p w:rsidR="0071501D" w:rsidRPr="005E42A1" w:rsidRDefault="00712201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131413"/>
          <w:sz w:val="22"/>
          <w:szCs w:val="22"/>
        </w:rPr>
      </w:pPr>
      <w:r w:rsidRPr="005E42A1">
        <w:rPr>
          <w:rFonts w:ascii="Arial" w:hAnsi="Arial" w:cs="Arial"/>
          <w:color w:val="232323"/>
          <w:sz w:val="22"/>
          <w:szCs w:val="22"/>
        </w:rPr>
        <w:t>La verdadera prevalencia de la enfermedad es desconocida. Se ha estimado que afecta aproximadamente a 1/1000000 de la población.</w:t>
      </w:r>
    </w:p>
    <w:p w:rsidR="00234E52" w:rsidRPr="006D453A" w:rsidRDefault="00234E52" w:rsidP="005E4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87A" w:rsidRPr="00257E75" w:rsidRDefault="00A5387A" w:rsidP="007A3D4E">
      <w:pPr>
        <w:autoSpaceDE w:val="0"/>
        <w:autoSpaceDN w:val="0"/>
        <w:adjustRightInd w:val="0"/>
        <w:jc w:val="both"/>
        <w:rPr>
          <w:rFonts w:ascii="Arial" w:hAnsi="Arial" w:cs="Arial"/>
          <w:color w:val="131413"/>
          <w:sz w:val="22"/>
          <w:szCs w:val="22"/>
        </w:rPr>
      </w:pPr>
      <w:r w:rsidRPr="005E42A1">
        <w:rPr>
          <w:rFonts w:ascii="Arial" w:hAnsi="Arial" w:cs="Arial"/>
          <w:sz w:val="22"/>
          <w:szCs w:val="22"/>
        </w:rPr>
        <w:t>En cuanto a la clínica, l</w:t>
      </w:r>
      <w:r w:rsidR="00690290" w:rsidRPr="005E42A1">
        <w:rPr>
          <w:rFonts w:ascii="Arial" w:hAnsi="Arial" w:cs="Arial"/>
          <w:sz w:val="22"/>
          <w:szCs w:val="22"/>
        </w:rPr>
        <w:t>a</w:t>
      </w:r>
      <w:r w:rsidR="00E47AB3" w:rsidRPr="005E42A1">
        <w:rPr>
          <w:rFonts w:ascii="Arial" w:hAnsi="Arial" w:cs="Arial"/>
          <w:sz w:val="22"/>
          <w:szCs w:val="22"/>
        </w:rPr>
        <w:t>s manifestaciones</w:t>
      </w:r>
      <w:r w:rsidR="00690290" w:rsidRPr="005E42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290" w:rsidRPr="005E42A1">
        <w:rPr>
          <w:rFonts w:ascii="Arial" w:hAnsi="Arial" w:cs="Arial"/>
          <w:sz w:val="22"/>
          <w:szCs w:val="22"/>
        </w:rPr>
        <w:t>mucocutánea</w:t>
      </w:r>
      <w:r w:rsidR="00E47AB3" w:rsidRPr="005E42A1">
        <w:rPr>
          <w:rFonts w:ascii="Arial" w:hAnsi="Arial" w:cs="Arial"/>
          <w:sz w:val="22"/>
          <w:szCs w:val="22"/>
        </w:rPr>
        <w:t>s</w:t>
      </w:r>
      <w:proofErr w:type="spellEnd"/>
      <w:r w:rsidR="00BE1917" w:rsidRPr="005E42A1">
        <w:rPr>
          <w:rFonts w:ascii="Arial" w:hAnsi="Arial" w:cs="Arial"/>
          <w:sz w:val="22"/>
          <w:szCs w:val="22"/>
        </w:rPr>
        <w:t>, con la triada clásica que presenta nuestro paciente,</w:t>
      </w:r>
      <w:r w:rsidR="00690290" w:rsidRPr="005E42A1">
        <w:rPr>
          <w:rFonts w:ascii="Arial" w:hAnsi="Arial" w:cs="Arial"/>
          <w:sz w:val="22"/>
          <w:szCs w:val="22"/>
        </w:rPr>
        <w:t xml:space="preserve"> </w:t>
      </w:r>
      <w:r w:rsidR="00E47AB3" w:rsidRPr="005E42A1">
        <w:rPr>
          <w:rFonts w:ascii="Arial" w:hAnsi="Arial" w:cs="Arial"/>
          <w:sz w:val="22"/>
          <w:szCs w:val="22"/>
        </w:rPr>
        <w:t xml:space="preserve">son </w:t>
      </w:r>
      <w:r w:rsidR="00690290" w:rsidRPr="005E42A1">
        <w:rPr>
          <w:rFonts w:ascii="Arial" w:hAnsi="Arial" w:cs="Arial"/>
          <w:sz w:val="22"/>
          <w:szCs w:val="22"/>
        </w:rPr>
        <w:t>la</w:t>
      </w:r>
      <w:r w:rsidR="00E47AB3" w:rsidRPr="005E42A1">
        <w:rPr>
          <w:rFonts w:ascii="Arial" w:hAnsi="Arial" w:cs="Arial"/>
          <w:sz w:val="22"/>
          <w:szCs w:val="22"/>
        </w:rPr>
        <w:t>s</w:t>
      </w:r>
      <w:r w:rsidR="00690290" w:rsidRPr="005E42A1">
        <w:rPr>
          <w:rFonts w:ascii="Arial" w:hAnsi="Arial" w:cs="Arial"/>
          <w:sz w:val="22"/>
          <w:szCs w:val="22"/>
        </w:rPr>
        <w:t xml:space="preserve"> m</w:t>
      </w:r>
      <w:r w:rsidR="00E47AB3" w:rsidRPr="005E42A1">
        <w:rPr>
          <w:rFonts w:ascii="Arial" w:hAnsi="Arial" w:cs="Arial"/>
          <w:sz w:val="22"/>
          <w:szCs w:val="22"/>
        </w:rPr>
        <w:t>ás comunes</w:t>
      </w:r>
      <w:r w:rsidR="00690290" w:rsidRPr="005E42A1">
        <w:rPr>
          <w:rFonts w:ascii="Arial" w:hAnsi="Arial" w:cs="Arial"/>
          <w:sz w:val="22"/>
          <w:szCs w:val="22"/>
        </w:rPr>
        <w:t xml:space="preserve"> en esta enfermedad.</w:t>
      </w:r>
      <w:r w:rsidR="00F121CD" w:rsidRPr="005E42A1">
        <w:rPr>
          <w:rFonts w:ascii="Arial" w:hAnsi="Arial" w:cs="Arial"/>
          <w:sz w:val="22"/>
          <w:szCs w:val="22"/>
        </w:rPr>
        <w:t xml:space="preserve">  </w:t>
      </w:r>
      <w:r w:rsidR="006A468D" w:rsidRPr="005E42A1">
        <w:rPr>
          <w:rFonts w:ascii="Arial" w:hAnsi="Arial" w:cs="Arial"/>
          <w:sz w:val="22"/>
          <w:szCs w:val="22"/>
        </w:rPr>
        <w:t>Sin embargo, l</w:t>
      </w:r>
      <w:r w:rsidR="00C36BF5" w:rsidRPr="005E42A1">
        <w:rPr>
          <w:rFonts w:ascii="Arial" w:hAnsi="Arial" w:cs="Arial"/>
          <w:sz w:val="22"/>
          <w:szCs w:val="22"/>
        </w:rPr>
        <w:t xml:space="preserve">a insuficiencia de médula ósea </w:t>
      </w:r>
      <w:r w:rsidR="006A468D" w:rsidRPr="005E42A1">
        <w:rPr>
          <w:rFonts w:ascii="Arial" w:hAnsi="Arial" w:cs="Arial"/>
          <w:sz w:val="22"/>
          <w:szCs w:val="22"/>
        </w:rPr>
        <w:t>y la fibrosis pulmonar</w:t>
      </w:r>
      <w:r w:rsidR="00F36FD9" w:rsidRPr="005E42A1">
        <w:rPr>
          <w:rFonts w:ascii="Arial" w:hAnsi="Arial" w:cs="Arial"/>
          <w:sz w:val="22"/>
          <w:szCs w:val="22"/>
        </w:rPr>
        <w:t>, aunque son menos frecuentes, 86% y 20% respectivamente,</w:t>
      </w:r>
      <w:r w:rsidR="00257E75">
        <w:rPr>
          <w:rFonts w:ascii="Arial" w:hAnsi="Arial" w:cs="Arial"/>
          <w:sz w:val="22"/>
          <w:szCs w:val="22"/>
        </w:rPr>
        <w:t xml:space="preserve"> </w:t>
      </w:r>
      <w:r w:rsidR="006A468D" w:rsidRPr="005E42A1">
        <w:rPr>
          <w:rFonts w:ascii="Arial" w:hAnsi="Arial" w:cs="Arial"/>
          <w:sz w:val="22"/>
          <w:szCs w:val="22"/>
        </w:rPr>
        <w:t>causan mayor morbimortalida</w:t>
      </w:r>
      <w:r w:rsidR="00257E75">
        <w:rPr>
          <w:rFonts w:ascii="Arial" w:hAnsi="Arial" w:cs="Arial"/>
          <w:sz w:val="22"/>
          <w:szCs w:val="22"/>
        </w:rPr>
        <w:t>d</w:t>
      </w:r>
      <w:r w:rsidR="00A06D2E" w:rsidRPr="00F20786">
        <w:rPr>
          <w:rFonts w:ascii="Arial" w:hAnsi="Arial" w:cs="Arial"/>
          <w:sz w:val="22"/>
          <w:szCs w:val="22"/>
          <w:vertAlign w:val="superscript"/>
        </w:rPr>
        <w:t>3</w:t>
      </w:r>
      <w:r w:rsidR="006A468D" w:rsidRPr="00F20786">
        <w:rPr>
          <w:rFonts w:ascii="Arial" w:hAnsi="Arial" w:cs="Arial"/>
          <w:sz w:val="22"/>
          <w:szCs w:val="22"/>
        </w:rPr>
        <w:t>.</w:t>
      </w:r>
      <w:r w:rsidR="006A468D" w:rsidRPr="005E42A1">
        <w:rPr>
          <w:rFonts w:ascii="Arial" w:hAnsi="Arial" w:cs="Arial"/>
          <w:sz w:val="22"/>
          <w:szCs w:val="22"/>
        </w:rPr>
        <w:t xml:space="preserve"> </w:t>
      </w:r>
      <w:r w:rsidRPr="005E42A1">
        <w:rPr>
          <w:rFonts w:ascii="Arial" w:hAnsi="Arial" w:cs="Arial"/>
          <w:color w:val="232323"/>
          <w:sz w:val="22"/>
          <w:szCs w:val="22"/>
        </w:rPr>
        <w:t xml:space="preserve">La incidencia </w:t>
      </w:r>
      <w:r w:rsidR="00B96661">
        <w:rPr>
          <w:rFonts w:ascii="Arial" w:hAnsi="Arial" w:cs="Arial"/>
          <w:color w:val="232323"/>
          <w:sz w:val="22"/>
          <w:szCs w:val="22"/>
        </w:rPr>
        <w:t xml:space="preserve">de cáncer en estos pacientes se </w:t>
      </w:r>
      <w:r w:rsidRPr="005E42A1">
        <w:rPr>
          <w:rFonts w:ascii="Arial" w:hAnsi="Arial" w:cs="Arial"/>
          <w:color w:val="232323"/>
          <w:sz w:val="22"/>
          <w:szCs w:val="22"/>
        </w:rPr>
        <w:t>sitúa en torno al 20-30% a la edad de 50 años. El más frecuente es el de cabeza y cuello.</w:t>
      </w:r>
    </w:p>
    <w:p w:rsidR="007A3D4E" w:rsidRDefault="007A3D4E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232323"/>
          <w:sz w:val="22"/>
          <w:szCs w:val="22"/>
        </w:rPr>
      </w:pPr>
    </w:p>
    <w:p w:rsidR="005E42A1" w:rsidRDefault="004E19EE" w:rsidP="005E42A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E42A1">
        <w:rPr>
          <w:rFonts w:ascii="Arial" w:hAnsi="Arial" w:cs="Arial"/>
          <w:color w:val="232323"/>
          <w:sz w:val="22"/>
          <w:szCs w:val="22"/>
        </w:rPr>
        <w:t xml:space="preserve">La fibrosis </w:t>
      </w:r>
      <w:r w:rsidR="00EB0C0F" w:rsidRPr="005E42A1">
        <w:rPr>
          <w:rFonts w:ascii="Arial" w:hAnsi="Arial" w:cs="Arial"/>
          <w:color w:val="232323"/>
          <w:sz w:val="22"/>
          <w:szCs w:val="22"/>
        </w:rPr>
        <w:t>pulmonar</w:t>
      </w:r>
      <w:r w:rsidRPr="005E42A1">
        <w:rPr>
          <w:rFonts w:ascii="Arial" w:hAnsi="Arial" w:cs="Arial"/>
          <w:color w:val="232323"/>
          <w:sz w:val="22"/>
          <w:szCs w:val="22"/>
        </w:rPr>
        <w:t xml:space="preserve"> afecta aproximadamente a 1 de cada 5 individuos con DC</w:t>
      </w:r>
      <w:r w:rsidR="00A06D2E">
        <w:rPr>
          <w:rFonts w:ascii="Arial" w:hAnsi="Arial" w:cs="Arial"/>
          <w:color w:val="232323"/>
          <w:sz w:val="22"/>
          <w:szCs w:val="22"/>
          <w:vertAlign w:val="superscript"/>
        </w:rPr>
        <w:t>4</w:t>
      </w:r>
      <w:r w:rsidRPr="005E42A1">
        <w:rPr>
          <w:rFonts w:ascii="Arial" w:hAnsi="Arial" w:cs="Arial"/>
          <w:color w:val="232323"/>
          <w:sz w:val="22"/>
          <w:szCs w:val="22"/>
        </w:rPr>
        <w:t>.</w:t>
      </w:r>
      <w:r w:rsidR="00855661" w:rsidRPr="005E42A1">
        <w:rPr>
          <w:rFonts w:ascii="Arial" w:hAnsi="Arial" w:cs="Arial"/>
          <w:color w:val="232323"/>
          <w:sz w:val="22"/>
          <w:szCs w:val="22"/>
        </w:rPr>
        <w:t xml:space="preserve"> </w:t>
      </w:r>
      <w:r w:rsidR="00952EFC" w:rsidRPr="005E42A1">
        <w:rPr>
          <w:rFonts w:ascii="Arial" w:hAnsi="Arial" w:cs="Arial"/>
          <w:color w:val="232323"/>
          <w:sz w:val="22"/>
          <w:szCs w:val="22"/>
        </w:rPr>
        <w:t xml:space="preserve">Suele aparecer </w:t>
      </w:r>
      <w:r w:rsidR="00257E75">
        <w:rPr>
          <w:rFonts w:ascii="Arial" w:hAnsi="Arial" w:cs="Arial"/>
          <w:color w:val="232323"/>
          <w:sz w:val="22"/>
          <w:szCs w:val="22"/>
        </w:rPr>
        <w:t xml:space="preserve">en individuos </w:t>
      </w:r>
      <w:r w:rsidR="00952EFC" w:rsidRPr="005E42A1">
        <w:rPr>
          <w:rFonts w:ascii="Arial" w:hAnsi="Arial" w:cs="Arial"/>
          <w:color w:val="232323"/>
          <w:sz w:val="22"/>
          <w:szCs w:val="22"/>
        </w:rPr>
        <w:t>por encima de 30 años.</w:t>
      </w:r>
      <w:r w:rsidR="000E6CBD" w:rsidRPr="005E42A1">
        <w:rPr>
          <w:rFonts w:ascii="Arial" w:hAnsi="Arial" w:cs="Arial"/>
          <w:sz w:val="23"/>
          <w:szCs w:val="23"/>
        </w:rPr>
        <w:t xml:space="preserve"> </w:t>
      </w:r>
      <w:r w:rsidR="001A0104">
        <w:rPr>
          <w:rFonts w:ascii="Arial" w:hAnsi="Arial" w:cs="Arial"/>
          <w:sz w:val="23"/>
          <w:szCs w:val="23"/>
        </w:rPr>
        <w:t>En algunos casos,</w:t>
      </w:r>
      <w:r w:rsidR="00177D09">
        <w:rPr>
          <w:rFonts w:ascii="Arial" w:hAnsi="Arial" w:cs="Arial"/>
          <w:sz w:val="23"/>
          <w:szCs w:val="23"/>
        </w:rPr>
        <w:t xml:space="preserve"> se desarrolla </w:t>
      </w:r>
      <w:proofErr w:type="spellStart"/>
      <w:r w:rsidR="00177D09">
        <w:rPr>
          <w:rFonts w:ascii="Arial" w:hAnsi="Arial" w:cs="Arial"/>
          <w:sz w:val="23"/>
          <w:szCs w:val="23"/>
        </w:rPr>
        <w:t>postra</w:t>
      </w:r>
      <w:r w:rsidR="00864745">
        <w:rPr>
          <w:rFonts w:ascii="Arial" w:hAnsi="Arial" w:cs="Arial"/>
          <w:sz w:val="23"/>
          <w:szCs w:val="23"/>
        </w:rPr>
        <w:t>splante</w:t>
      </w:r>
      <w:proofErr w:type="spellEnd"/>
      <w:r w:rsidR="00864745">
        <w:rPr>
          <w:rFonts w:ascii="Arial" w:hAnsi="Arial" w:cs="Arial"/>
          <w:sz w:val="23"/>
          <w:szCs w:val="23"/>
        </w:rPr>
        <w:t xml:space="preserve"> de médula ósea. En otros, es idiopática.</w:t>
      </w:r>
    </w:p>
    <w:p w:rsidR="00276482" w:rsidRPr="00257E75" w:rsidRDefault="008F6ABD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42A1">
        <w:rPr>
          <w:rFonts w:ascii="Arial" w:hAnsi="Arial" w:cs="Arial"/>
          <w:color w:val="232323"/>
          <w:sz w:val="22"/>
          <w:szCs w:val="22"/>
        </w:rPr>
        <w:t>La combinación de fibrosis pulmonar e insuficiencia de médula ósea es un potente predictor de alteración telomérica</w:t>
      </w:r>
      <w:r w:rsidR="00A06D2E">
        <w:rPr>
          <w:rFonts w:ascii="Arial" w:hAnsi="Arial" w:cs="Arial"/>
          <w:color w:val="232323"/>
          <w:sz w:val="22"/>
          <w:szCs w:val="22"/>
          <w:vertAlign w:val="superscript"/>
        </w:rPr>
        <w:t>5</w:t>
      </w:r>
      <w:r w:rsidRPr="005E42A1">
        <w:rPr>
          <w:rFonts w:ascii="Arial" w:hAnsi="Arial" w:cs="Arial"/>
          <w:color w:val="232323"/>
          <w:sz w:val="22"/>
          <w:szCs w:val="22"/>
        </w:rPr>
        <w:t>.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 xml:space="preserve"> El acortamiento </w:t>
      </w:r>
      <w:proofErr w:type="spellStart"/>
      <w:r w:rsidR="00276482" w:rsidRPr="005E42A1">
        <w:rPr>
          <w:rFonts w:ascii="Arial" w:hAnsi="Arial" w:cs="Arial"/>
          <w:color w:val="000000"/>
          <w:sz w:val="22"/>
          <w:szCs w:val="22"/>
        </w:rPr>
        <w:t>telomérico</w:t>
      </w:r>
      <w:proofErr w:type="spellEnd"/>
      <w:r w:rsidR="0027204D" w:rsidRPr="005E42A1">
        <w:rPr>
          <w:rFonts w:ascii="Arial" w:hAnsi="Arial" w:cs="Arial"/>
          <w:color w:val="000000"/>
          <w:sz w:val="22"/>
          <w:szCs w:val="22"/>
        </w:rPr>
        <w:t xml:space="preserve"> 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 xml:space="preserve">se describe </w:t>
      </w:r>
      <w:r w:rsidR="00174C78">
        <w:rPr>
          <w:rFonts w:ascii="Arial" w:hAnsi="Arial" w:cs="Arial"/>
          <w:color w:val="000000"/>
          <w:sz w:val="22"/>
          <w:szCs w:val="22"/>
        </w:rPr>
        <w:t xml:space="preserve">hasta 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 xml:space="preserve">en el 25% </w:t>
      </w:r>
      <w:r w:rsidR="0027204D" w:rsidRPr="005E42A1">
        <w:rPr>
          <w:rFonts w:ascii="Arial" w:hAnsi="Arial" w:cs="Arial"/>
          <w:color w:val="000000"/>
          <w:sz w:val="22"/>
          <w:szCs w:val="22"/>
        </w:rPr>
        <w:t xml:space="preserve">de los casos de fibrosis pulmonar idiopática </w:t>
      </w:r>
      <w:r w:rsidR="00864745">
        <w:rPr>
          <w:rFonts w:ascii="Arial" w:hAnsi="Arial" w:cs="Arial"/>
          <w:color w:val="000000"/>
          <w:sz w:val="22"/>
          <w:szCs w:val="22"/>
        </w:rPr>
        <w:t>(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>FPI</w:t>
      </w:r>
      <w:r w:rsidR="00864745">
        <w:rPr>
          <w:rFonts w:ascii="Arial" w:hAnsi="Arial" w:cs="Arial"/>
          <w:color w:val="000000"/>
          <w:sz w:val="22"/>
          <w:szCs w:val="22"/>
        </w:rPr>
        <w:t>)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 xml:space="preserve"> y en más del 50%</w:t>
      </w:r>
      <w:r w:rsidR="0027204D" w:rsidRPr="005E42A1">
        <w:rPr>
          <w:rFonts w:ascii="Arial" w:hAnsi="Arial" w:cs="Arial"/>
          <w:color w:val="000000"/>
          <w:sz w:val="22"/>
          <w:szCs w:val="22"/>
        </w:rPr>
        <w:t xml:space="preserve"> 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 xml:space="preserve">de las </w:t>
      </w:r>
      <w:r w:rsidR="00952BA6" w:rsidRPr="005E42A1">
        <w:rPr>
          <w:rFonts w:ascii="Arial" w:hAnsi="Arial" w:cs="Arial"/>
          <w:color w:val="000000"/>
          <w:sz w:val="22"/>
          <w:szCs w:val="22"/>
        </w:rPr>
        <w:t>formas familiares (FPF)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>, y contribuye al incremento de apoptosis epiteli</w:t>
      </w:r>
      <w:r w:rsidR="00860939">
        <w:rPr>
          <w:rFonts w:ascii="Arial" w:hAnsi="Arial" w:cs="Arial"/>
          <w:color w:val="000000"/>
          <w:sz w:val="22"/>
          <w:szCs w:val="22"/>
        </w:rPr>
        <w:t>al</w:t>
      </w:r>
      <w:r w:rsidR="00276482" w:rsidRPr="005E42A1">
        <w:rPr>
          <w:rFonts w:ascii="Arial" w:hAnsi="Arial" w:cs="Arial"/>
          <w:color w:val="000000"/>
          <w:sz w:val="22"/>
          <w:szCs w:val="22"/>
        </w:rPr>
        <w:t>.</w:t>
      </w:r>
    </w:p>
    <w:p w:rsidR="00234E52" w:rsidRPr="005E42A1" w:rsidRDefault="00234E52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0081AD"/>
          <w:sz w:val="22"/>
          <w:szCs w:val="22"/>
        </w:rPr>
      </w:pPr>
    </w:p>
    <w:p w:rsidR="00234E52" w:rsidRPr="00860939" w:rsidRDefault="001623A0" w:rsidP="005E42A1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5E42A1">
        <w:rPr>
          <w:rFonts w:ascii="Arial" w:hAnsi="Arial" w:cs="Arial"/>
          <w:color w:val="000000" w:themeColor="text1"/>
          <w:sz w:val="22"/>
          <w:szCs w:val="22"/>
        </w:rPr>
        <w:t>La media de supervivencia de los pacientes que asocian FPI es inferior a 3 años desde el diagnóstico</w:t>
      </w:r>
      <w:r w:rsidRPr="00860939">
        <w:rPr>
          <w:rFonts w:ascii="Arial" w:hAnsi="Arial" w:cs="Arial"/>
          <w:color w:val="000000" w:themeColor="text1"/>
          <w:sz w:val="22"/>
          <w:szCs w:val="22"/>
        </w:rPr>
        <w:t>.</w:t>
      </w:r>
      <w:r w:rsidRPr="005E42A1">
        <w:rPr>
          <w:rFonts w:ascii="Arial" w:hAnsi="Arial" w:cs="Arial"/>
          <w:sz w:val="15"/>
          <w:szCs w:val="15"/>
        </w:rPr>
        <w:t xml:space="preserve"> </w:t>
      </w:r>
      <w:r w:rsidR="00A5387A" w:rsidRPr="005E42A1">
        <w:rPr>
          <w:rFonts w:ascii="Arial" w:hAnsi="Arial" w:cs="Arial"/>
          <w:color w:val="232323"/>
          <w:sz w:val="22"/>
          <w:szCs w:val="22"/>
        </w:rPr>
        <w:t>Sin embargo, l</w:t>
      </w:r>
      <w:r w:rsidR="008F34BD" w:rsidRPr="005E42A1">
        <w:rPr>
          <w:rFonts w:ascii="Arial" w:hAnsi="Arial" w:cs="Arial"/>
          <w:color w:val="232323"/>
          <w:sz w:val="22"/>
          <w:szCs w:val="22"/>
        </w:rPr>
        <w:t xml:space="preserve">a principal causa de muerte de estos pacientes son las </w:t>
      </w:r>
      <w:r w:rsidR="001043EC" w:rsidRPr="005E42A1">
        <w:rPr>
          <w:rFonts w:ascii="Arial" w:hAnsi="Arial" w:cs="Arial"/>
          <w:color w:val="232323"/>
          <w:sz w:val="22"/>
          <w:szCs w:val="22"/>
        </w:rPr>
        <w:t xml:space="preserve">complicaciones </w:t>
      </w:r>
      <w:r w:rsidR="00724AB9" w:rsidRPr="005E42A1">
        <w:rPr>
          <w:rFonts w:ascii="Arial" w:hAnsi="Arial" w:cs="Arial"/>
          <w:color w:val="232323"/>
          <w:sz w:val="22"/>
          <w:szCs w:val="22"/>
        </w:rPr>
        <w:t>derivadas de la insuficiencia de la médula ósea</w:t>
      </w:r>
      <w:r w:rsidR="0022492B" w:rsidRPr="005E42A1">
        <w:rPr>
          <w:rFonts w:ascii="Arial" w:hAnsi="Arial" w:cs="Arial"/>
          <w:color w:val="232323"/>
          <w:sz w:val="22"/>
          <w:szCs w:val="22"/>
        </w:rPr>
        <w:t xml:space="preserve"> (60-70%)</w:t>
      </w:r>
      <w:r w:rsidR="00860939">
        <w:rPr>
          <w:rFonts w:ascii="Arial" w:hAnsi="Arial" w:cs="Arial"/>
          <w:color w:val="232323"/>
          <w:sz w:val="22"/>
          <w:szCs w:val="22"/>
        </w:rPr>
        <w:t>.</w:t>
      </w:r>
    </w:p>
    <w:p w:rsidR="00234E52" w:rsidRPr="009D61BB" w:rsidRDefault="007C3E16" w:rsidP="005E42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42A1">
        <w:rPr>
          <w:rFonts w:ascii="Arial" w:hAnsi="Arial" w:cs="Arial"/>
          <w:color w:val="000000"/>
          <w:sz w:val="22"/>
          <w:szCs w:val="22"/>
        </w:rPr>
        <w:t>El único tratamiento que ha demostrado alargar la supervivenc</w:t>
      </w:r>
      <w:r w:rsidR="00177D09">
        <w:rPr>
          <w:rFonts w:ascii="Arial" w:hAnsi="Arial" w:cs="Arial"/>
          <w:color w:val="000000"/>
          <w:sz w:val="22"/>
          <w:szCs w:val="22"/>
        </w:rPr>
        <w:t>ia en estos pacientes es el tra</w:t>
      </w:r>
      <w:r w:rsidRPr="005E42A1">
        <w:rPr>
          <w:rFonts w:ascii="Arial" w:hAnsi="Arial" w:cs="Arial"/>
          <w:color w:val="000000"/>
          <w:sz w:val="22"/>
          <w:szCs w:val="22"/>
        </w:rPr>
        <w:t>splante pulmonar</w:t>
      </w:r>
      <w:r w:rsidR="00A06D2E"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 w:rsidRPr="005E42A1">
        <w:rPr>
          <w:rFonts w:ascii="Arial" w:hAnsi="Arial" w:cs="Arial"/>
          <w:color w:val="000000"/>
          <w:sz w:val="22"/>
          <w:szCs w:val="22"/>
        </w:rPr>
        <w:t xml:space="preserve">. Sin embargo, </w:t>
      </w:r>
      <w:r w:rsidR="006B0762">
        <w:rPr>
          <w:rFonts w:ascii="Arial" w:hAnsi="Arial" w:cs="Arial"/>
          <w:color w:val="000000"/>
          <w:sz w:val="22"/>
          <w:szCs w:val="22"/>
        </w:rPr>
        <w:t xml:space="preserve">cuando asocian </w:t>
      </w:r>
      <w:r w:rsidR="00A5387A" w:rsidRPr="005E42A1">
        <w:rPr>
          <w:rFonts w:ascii="Arial" w:hAnsi="Arial" w:cs="Arial"/>
          <w:color w:val="000000"/>
          <w:sz w:val="22"/>
          <w:szCs w:val="22"/>
        </w:rPr>
        <w:t xml:space="preserve">acortamiento </w:t>
      </w:r>
      <w:proofErr w:type="spellStart"/>
      <w:r w:rsidR="006B0762">
        <w:rPr>
          <w:rFonts w:ascii="Arial" w:hAnsi="Arial" w:cs="Arial"/>
          <w:color w:val="000000"/>
          <w:sz w:val="22"/>
          <w:szCs w:val="22"/>
        </w:rPr>
        <w:t>telomérico</w:t>
      </w:r>
      <w:proofErr w:type="spellEnd"/>
      <w:r w:rsidR="006B0762">
        <w:rPr>
          <w:rFonts w:ascii="Arial" w:hAnsi="Arial" w:cs="Arial"/>
          <w:color w:val="000000"/>
          <w:sz w:val="22"/>
          <w:szCs w:val="22"/>
        </w:rPr>
        <w:t xml:space="preserve">, </w:t>
      </w:r>
      <w:r w:rsidR="00A5387A" w:rsidRPr="005E42A1">
        <w:rPr>
          <w:rFonts w:ascii="Arial" w:hAnsi="Arial" w:cs="Arial"/>
          <w:color w:val="000000"/>
          <w:sz w:val="22"/>
          <w:szCs w:val="22"/>
        </w:rPr>
        <w:t xml:space="preserve">presentan peor pronóstico y más morbilidad </w:t>
      </w:r>
      <w:proofErr w:type="spellStart"/>
      <w:r w:rsidR="00A5387A" w:rsidRPr="005E42A1">
        <w:rPr>
          <w:rFonts w:ascii="Arial" w:hAnsi="Arial" w:cs="Arial"/>
          <w:color w:val="000000"/>
          <w:sz w:val="22"/>
          <w:szCs w:val="22"/>
        </w:rPr>
        <w:t>postrasplante</w:t>
      </w:r>
      <w:proofErr w:type="spellEnd"/>
      <w:r w:rsidR="0095592F">
        <w:rPr>
          <w:rFonts w:ascii="Arial" w:hAnsi="Arial" w:cs="Arial"/>
          <w:color w:val="000000"/>
          <w:sz w:val="22"/>
          <w:szCs w:val="22"/>
        </w:rPr>
        <w:t xml:space="preserve"> que en los casos de </w:t>
      </w:r>
      <w:r w:rsidR="001D69F9">
        <w:rPr>
          <w:rFonts w:ascii="Arial" w:hAnsi="Arial" w:cs="Arial"/>
          <w:color w:val="000000"/>
          <w:sz w:val="22"/>
          <w:szCs w:val="22"/>
        </w:rPr>
        <w:t>FPI</w:t>
      </w:r>
      <w:r w:rsidR="002F0863">
        <w:rPr>
          <w:rFonts w:ascii="Arial" w:hAnsi="Arial" w:cs="Arial"/>
          <w:color w:val="000000"/>
          <w:sz w:val="22"/>
          <w:szCs w:val="22"/>
        </w:rPr>
        <w:t xml:space="preserve"> no familiar</w:t>
      </w:r>
      <w:r w:rsidR="00A06D2E"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proofErr w:type="gramStart"/>
      <w:r w:rsidR="00A06D2E">
        <w:rPr>
          <w:rFonts w:ascii="Arial" w:hAnsi="Arial" w:cs="Arial"/>
          <w:color w:val="000000"/>
          <w:sz w:val="22"/>
          <w:szCs w:val="22"/>
          <w:vertAlign w:val="superscript"/>
        </w:rPr>
        <w:t>,8</w:t>
      </w:r>
      <w:r w:rsidR="002B6B3C">
        <w:rPr>
          <w:rFonts w:ascii="Arial" w:hAnsi="Arial" w:cs="Arial"/>
          <w:color w:val="000000"/>
          <w:sz w:val="22"/>
          <w:szCs w:val="22"/>
          <w:vertAlign w:val="superscript"/>
        </w:rPr>
        <w:t>,9</w:t>
      </w:r>
      <w:proofErr w:type="gramEnd"/>
      <w:r w:rsidR="00A5387A" w:rsidRPr="005E42A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42A1">
        <w:rPr>
          <w:rFonts w:ascii="Arial" w:hAnsi="Arial" w:cs="Arial"/>
          <w:sz w:val="22"/>
          <w:szCs w:val="22"/>
        </w:rPr>
        <w:t>La experiencia es escasa, pero e</w:t>
      </w:r>
      <w:r w:rsidR="009B3BB3" w:rsidRPr="005E42A1">
        <w:rPr>
          <w:rFonts w:ascii="Arial" w:hAnsi="Arial" w:cs="Arial"/>
          <w:sz w:val="22"/>
          <w:szCs w:val="22"/>
        </w:rPr>
        <w:t>xiste</w:t>
      </w:r>
      <w:r w:rsidR="009D61BB">
        <w:rPr>
          <w:rFonts w:ascii="Arial" w:hAnsi="Arial" w:cs="Arial"/>
          <w:sz w:val="22"/>
          <w:szCs w:val="22"/>
        </w:rPr>
        <w:t>n</w:t>
      </w:r>
      <w:r w:rsidR="009B3BB3" w:rsidRPr="005E42A1">
        <w:rPr>
          <w:rFonts w:ascii="Arial" w:hAnsi="Arial" w:cs="Arial"/>
          <w:sz w:val="22"/>
          <w:szCs w:val="22"/>
        </w:rPr>
        <w:t xml:space="preserve"> caso</w:t>
      </w:r>
      <w:r w:rsidR="009D61BB">
        <w:rPr>
          <w:rFonts w:ascii="Arial" w:hAnsi="Arial" w:cs="Arial"/>
          <w:sz w:val="22"/>
          <w:szCs w:val="22"/>
        </w:rPr>
        <w:t>s</w:t>
      </w:r>
      <w:r w:rsidR="009B3BB3" w:rsidRPr="005E42A1">
        <w:rPr>
          <w:rFonts w:ascii="Arial" w:hAnsi="Arial" w:cs="Arial"/>
          <w:sz w:val="22"/>
          <w:szCs w:val="22"/>
        </w:rPr>
        <w:t xml:space="preserve"> en la literatura con buena evolución</w:t>
      </w:r>
      <w:r w:rsidR="009D61BB">
        <w:rPr>
          <w:rFonts w:ascii="Arial" w:hAnsi="Arial" w:cs="Arial"/>
          <w:sz w:val="22"/>
          <w:szCs w:val="22"/>
        </w:rPr>
        <w:t xml:space="preserve"> y algunos autores lo consideran como un tratamiento factible en estos pacientes</w:t>
      </w:r>
      <w:r w:rsidR="00A06D2E">
        <w:rPr>
          <w:rFonts w:ascii="Arial" w:hAnsi="Arial" w:cs="Arial"/>
          <w:sz w:val="22"/>
          <w:szCs w:val="22"/>
          <w:vertAlign w:val="superscript"/>
        </w:rPr>
        <w:t>2</w:t>
      </w:r>
      <w:proofErr w:type="gramStart"/>
      <w:r w:rsidR="00B96661" w:rsidRPr="00B96661">
        <w:rPr>
          <w:rFonts w:ascii="Arial" w:hAnsi="Arial" w:cs="Arial"/>
          <w:sz w:val="22"/>
          <w:szCs w:val="22"/>
          <w:vertAlign w:val="superscript"/>
        </w:rPr>
        <w:t>,</w:t>
      </w:r>
      <w:r w:rsidR="002B6B3C">
        <w:rPr>
          <w:rFonts w:ascii="Arial" w:hAnsi="Arial" w:cs="Arial"/>
          <w:sz w:val="22"/>
          <w:szCs w:val="22"/>
          <w:vertAlign w:val="superscript"/>
        </w:rPr>
        <w:t>10</w:t>
      </w:r>
      <w:proofErr w:type="gramEnd"/>
      <w:r w:rsidR="009B3BB3" w:rsidRPr="005E42A1">
        <w:rPr>
          <w:rFonts w:ascii="Arial" w:hAnsi="Arial" w:cs="Arial"/>
          <w:sz w:val="22"/>
          <w:szCs w:val="22"/>
        </w:rPr>
        <w:t>.</w:t>
      </w:r>
    </w:p>
    <w:p w:rsidR="005A2C50" w:rsidRDefault="00C4403B" w:rsidP="009D61BB">
      <w:pPr>
        <w:autoSpaceDE w:val="0"/>
        <w:autoSpaceDN w:val="0"/>
        <w:adjustRightInd w:val="0"/>
        <w:jc w:val="both"/>
        <w:rPr>
          <w:rFonts w:ascii="Arial" w:hAnsi="Arial" w:cs="Arial"/>
          <w:sz w:val="48"/>
          <w:szCs w:val="48"/>
        </w:rPr>
      </w:pPr>
      <w:r w:rsidRPr="007A3D4E">
        <w:rPr>
          <w:rFonts w:ascii="Arial" w:hAnsi="Arial" w:cs="Arial"/>
          <w:sz w:val="48"/>
          <w:szCs w:val="48"/>
        </w:rPr>
        <w:t xml:space="preserve"> </w:t>
      </w:r>
    </w:p>
    <w:p w:rsidR="00241260" w:rsidRPr="005A2C50" w:rsidRDefault="009D61BB" w:rsidP="009D61BB">
      <w:pPr>
        <w:autoSpaceDE w:val="0"/>
        <w:autoSpaceDN w:val="0"/>
        <w:adjustRightInd w:val="0"/>
        <w:jc w:val="both"/>
        <w:rPr>
          <w:rFonts w:ascii="Arial" w:hAnsi="Arial" w:cs="Arial"/>
          <w:sz w:val="48"/>
          <w:szCs w:val="48"/>
        </w:rPr>
      </w:pPr>
      <w:r w:rsidRPr="00225E63">
        <w:rPr>
          <w:rFonts w:ascii="Arial" w:hAnsi="Arial" w:cs="Arial"/>
          <w:b/>
          <w:sz w:val="22"/>
          <w:szCs w:val="22"/>
        </w:rPr>
        <w:t>BIBLIO</w:t>
      </w:r>
      <w:r w:rsidR="00B963A6" w:rsidRPr="00225E63">
        <w:rPr>
          <w:rFonts w:ascii="Arial" w:hAnsi="Arial" w:cs="Arial"/>
          <w:b/>
          <w:sz w:val="22"/>
          <w:szCs w:val="22"/>
        </w:rPr>
        <w:t>GRAFIA</w:t>
      </w:r>
    </w:p>
    <w:p w:rsidR="00B963A6" w:rsidRPr="00653214" w:rsidRDefault="00B963A6" w:rsidP="00653214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653214">
        <w:rPr>
          <w:rFonts w:ascii="Arial" w:hAnsi="Arial" w:cs="Arial"/>
          <w:sz w:val="16"/>
          <w:szCs w:val="16"/>
          <w:lang w:val="en-US"/>
        </w:rPr>
        <w:t xml:space="preserve">Nelson ND,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Bertuch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AA.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Dyskeratosis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congenita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as a disorder of telomere maintenance.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Mutat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Res 2012; 730: 43–51.</w:t>
      </w:r>
      <w:r w:rsidRPr="00653214">
        <w:rPr>
          <w:rFonts w:ascii="Arial" w:eastAsia="Times New Roman" w:hAnsi="Arial" w:cs="Arial"/>
          <w:color w:val="232323"/>
          <w:sz w:val="16"/>
          <w:szCs w:val="16"/>
          <w:lang w:val="en-US" w:eastAsia="es-ES_tradnl"/>
        </w:rPr>
        <w:t xml:space="preserve"> </w:t>
      </w:r>
    </w:p>
    <w:p w:rsidR="00B963A6" w:rsidRPr="00653214" w:rsidRDefault="00B963A6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</w:rPr>
        <w:t>Giri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</w:rPr>
        <w:t xml:space="preserve"> N, Lee R, Faro A, et al. </w:t>
      </w:r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Lung transplantation for pulmonary fibrosis in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dyskeratosis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congenita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: case report and systematic literature review. BMC Blood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Disord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2011</w:t>
      </w:r>
      <w:proofErr w:type="gram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;11:3</w:t>
      </w:r>
      <w:proofErr w:type="gram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</w:p>
    <w:p w:rsidR="00777E36" w:rsidRPr="00653214" w:rsidRDefault="00B963A6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3214">
        <w:rPr>
          <w:rFonts w:ascii="Arial" w:hAnsi="Arial" w:cs="Arial"/>
          <w:sz w:val="16"/>
          <w:szCs w:val="16"/>
          <w:lang w:val="en-US"/>
        </w:rPr>
        <w:t xml:space="preserve">Ballew BJ, Savage SA. Updates on the biology and management of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dyskeratosis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53214">
        <w:rPr>
          <w:rFonts w:ascii="Arial" w:hAnsi="Arial" w:cs="Arial"/>
          <w:sz w:val="16"/>
          <w:szCs w:val="16"/>
          <w:lang w:val="en-US"/>
        </w:rPr>
        <w:t>congenita</w:t>
      </w:r>
      <w:proofErr w:type="spellEnd"/>
      <w:r w:rsidRPr="00653214">
        <w:rPr>
          <w:rFonts w:ascii="Arial" w:hAnsi="Arial" w:cs="Arial"/>
          <w:sz w:val="16"/>
          <w:szCs w:val="16"/>
          <w:lang w:val="en-US"/>
        </w:rPr>
        <w:t xml:space="preserve"> and related telomere biology disorders. </w:t>
      </w:r>
      <w:proofErr w:type="spellStart"/>
      <w:r w:rsidRPr="00653214">
        <w:rPr>
          <w:rFonts w:ascii="Arial" w:hAnsi="Arial" w:cs="Arial"/>
          <w:sz w:val="16"/>
          <w:szCs w:val="16"/>
        </w:rPr>
        <w:t>Expert</w:t>
      </w:r>
      <w:proofErr w:type="spellEnd"/>
      <w:r w:rsidRPr="006532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3214">
        <w:rPr>
          <w:rFonts w:ascii="Arial" w:hAnsi="Arial" w:cs="Arial"/>
          <w:sz w:val="16"/>
          <w:szCs w:val="16"/>
        </w:rPr>
        <w:t>Rev</w:t>
      </w:r>
      <w:proofErr w:type="spellEnd"/>
      <w:r w:rsidRPr="006532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3214">
        <w:rPr>
          <w:rFonts w:ascii="Arial" w:hAnsi="Arial" w:cs="Arial"/>
          <w:sz w:val="16"/>
          <w:szCs w:val="16"/>
        </w:rPr>
        <w:t>Hematol</w:t>
      </w:r>
      <w:proofErr w:type="spellEnd"/>
      <w:r w:rsidRPr="00653214">
        <w:rPr>
          <w:rFonts w:ascii="Arial" w:hAnsi="Arial" w:cs="Arial"/>
          <w:sz w:val="16"/>
          <w:szCs w:val="16"/>
        </w:rPr>
        <w:t xml:space="preserve"> 2013;6:327–37</w:t>
      </w:r>
    </w:p>
    <w:p w:rsidR="00777E36" w:rsidRPr="00653214" w:rsidRDefault="00D16FED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8" w:history="1"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Alter BP,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Giri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N, Savage SA, Rosenberg PS. Cancer in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dyskeratosis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congenita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. Blood 2009; 113:6549.</w:t>
        </w:r>
      </w:hyperlink>
    </w:p>
    <w:p w:rsidR="00777E36" w:rsidRPr="00653214" w:rsidRDefault="00D16FED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s-ES" w:eastAsia="es-ES_tradnl"/>
        </w:rPr>
      </w:pPr>
      <w:hyperlink r:id="rId9" w:history="1"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Calado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RT. Telomeres in lung diseases.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Prog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Mol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Biol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Transl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</w:t>
        </w:r>
        <w:proofErr w:type="spellStart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>Sci</w:t>
        </w:r>
        <w:proofErr w:type="spellEnd"/>
        <w:r w:rsidR="00B963A6" w:rsidRPr="00653214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_tradnl"/>
          </w:rPr>
          <w:t xml:space="preserve"> 2014; 125:173.</w:t>
        </w:r>
      </w:hyperlink>
    </w:p>
    <w:p w:rsidR="00777E36" w:rsidRPr="00653214" w:rsidRDefault="00B963A6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  <w:proofErr w:type="spellStart"/>
      <w:r w:rsidRPr="00653214">
        <w:rPr>
          <w:rFonts w:ascii="Arial" w:hAnsi="Arial" w:cs="Arial"/>
          <w:color w:val="231F20"/>
          <w:sz w:val="16"/>
          <w:szCs w:val="16"/>
          <w:lang w:val="en-US"/>
        </w:rPr>
        <w:t>Richeldi</w:t>
      </w:r>
      <w:proofErr w:type="spellEnd"/>
      <w:r w:rsidRPr="00653214">
        <w:rPr>
          <w:rFonts w:ascii="Arial" w:hAnsi="Arial" w:cs="Arial"/>
          <w:color w:val="231F20"/>
          <w:sz w:val="16"/>
          <w:szCs w:val="16"/>
          <w:lang w:val="en-US"/>
        </w:rPr>
        <w:t xml:space="preserve"> L, Collard HR, du Bois RM, et al. </w:t>
      </w:r>
      <w:proofErr w:type="gramStart"/>
      <w:r w:rsidRPr="00653214">
        <w:rPr>
          <w:rFonts w:ascii="Arial" w:hAnsi="Arial" w:cs="Arial"/>
          <w:color w:val="231F20"/>
          <w:sz w:val="16"/>
          <w:szCs w:val="16"/>
          <w:lang w:val="en-US"/>
        </w:rPr>
        <w:t>Mapping</w:t>
      </w:r>
      <w:proofErr w:type="gramEnd"/>
      <w:r w:rsidRPr="00653214">
        <w:rPr>
          <w:rFonts w:ascii="Arial" w:hAnsi="Arial" w:cs="Arial"/>
          <w:color w:val="231F20"/>
          <w:sz w:val="16"/>
          <w:szCs w:val="16"/>
          <w:lang w:val="en-US"/>
        </w:rPr>
        <w:t xml:space="preserve"> the future for pulmonary fibrosis: report from the 17th International Colloquium on Lung and Airway Fibrosis. </w:t>
      </w:r>
      <w:proofErr w:type="spellStart"/>
      <w:r w:rsidRPr="00653214">
        <w:rPr>
          <w:rFonts w:ascii="Arial" w:hAnsi="Arial" w:cs="Arial"/>
          <w:color w:val="231F20"/>
          <w:sz w:val="16"/>
          <w:szCs w:val="16"/>
        </w:rPr>
        <w:t>Eur</w:t>
      </w:r>
      <w:proofErr w:type="spellEnd"/>
      <w:r w:rsidRPr="00653214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653214">
        <w:rPr>
          <w:rFonts w:ascii="Arial" w:hAnsi="Arial" w:cs="Arial"/>
          <w:color w:val="231F20"/>
          <w:sz w:val="16"/>
          <w:szCs w:val="16"/>
        </w:rPr>
        <w:t>Respir</w:t>
      </w:r>
      <w:proofErr w:type="spellEnd"/>
      <w:r w:rsidRPr="00653214">
        <w:rPr>
          <w:rFonts w:ascii="Arial" w:hAnsi="Arial" w:cs="Arial"/>
          <w:color w:val="231F20"/>
          <w:sz w:val="16"/>
          <w:szCs w:val="16"/>
        </w:rPr>
        <w:t xml:space="preserve"> J 2013; 42: 230–238.</w:t>
      </w:r>
    </w:p>
    <w:p w:rsidR="00777E36" w:rsidRPr="00653214" w:rsidRDefault="00B963A6" w:rsidP="00F22B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  <w:lang w:val="en-US"/>
        </w:rPr>
      </w:pPr>
      <w:r w:rsidRPr="00653214">
        <w:rPr>
          <w:rFonts w:ascii="Arial" w:hAnsi="Arial" w:cs="Arial"/>
          <w:color w:val="000000" w:themeColor="text1"/>
          <w:sz w:val="16"/>
          <w:szCs w:val="16"/>
        </w:rPr>
        <w:t xml:space="preserve">Newton CA,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</w:rPr>
        <w:t>Batra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</w:rPr>
        <w:t xml:space="preserve"> K, Torrealba J,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</w:rPr>
        <w:t>Kozlitina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</w:rPr>
        <w:t xml:space="preserve"> J,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</w:rPr>
        <w:t>Glazer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</w:rPr>
        <w:t xml:space="preserve"> CS, Aravena C, et al.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Telomererelated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lung fibrosis is diagnostically heterogeneous but uniformly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progressive.Eur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Respir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J. 2016</w:t>
      </w:r>
      <w:proofErr w:type="gram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;48:1710</w:t>
      </w:r>
      <w:proofErr w:type="gram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–20.</w:t>
      </w:r>
    </w:p>
    <w:p w:rsidR="00645730" w:rsidRDefault="00B963A6" w:rsidP="00645730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Stuart BD, Lee JS,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Kozlitina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J,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Noth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I, Devine MS, Glazer CS, et al. Effect of telomere length on survival in patients with idiopathic pulmonary fibrosis: An observational cohort study with independent validation. Lancet </w:t>
      </w:r>
      <w:proofErr w:type="spell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Respir</w:t>
      </w:r>
      <w:proofErr w:type="spell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Med. 2014</w:t>
      </w:r>
      <w:proofErr w:type="gramStart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;2:557</w:t>
      </w:r>
      <w:proofErr w:type="gramEnd"/>
      <w:r w:rsidRPr="00653214">
        <w:rPr>
          <w:rFonts w:ascii="Arial" w:hAnsi="Arial" w:cs="Arial"/>
          <w:color w:val="000000" w:themeColor="text1"/>
          <w:sz w:val="16"/>
          <w:szCs w:val="16"/>
          <w:lang w:val="en-US"/>
        </w:rPr>
        <w:t>–65.</w:t>
      </w:r>
      <w:r w:rsidR="0064573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645730" w:rsidRPr="00645730" w:rsidRDefault="00D16FED" w:rsidP="00645730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10" w:anchor="!" w:history="1">
        <w:proofErr w:type="spellStart"/>
        <w:r w:rsidR="00645730" w:rsidRPr="00645730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"/>
          </w:rPr>
          <w:t>S.M.Lari</w:t>
        </w:r>
        <w:proofErr w:type="spellEnd"/>
      </w:hyperlink>
      <w:r w:rsidR="00645730" w:rsidRP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 xml:space="preserve">, </w:t>
      </w:r>
      <w:hyperlink r:id="rId11" w:anchor="!" w:history="1">
        <w:proofErr w:type="spellStart"/>
        <w:r w:rsidR="00645730" w:rsidRPr="00645730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"/>
          </w:rPr>
          <w:t>D.J.Ross</w:t>
        </w:r>
        <w:proofErr w:type="spellEnd"/>
      </w:hyperlink>
      <w:bookmarkStart w:id="0" w:name="bau0003"/>
      <w:r w:rsidR="00645730" w:rsidRP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 xml:space="preserve">, </w:t>
      </w:r>
      <w:hyperlink r:id="rId12" w:anchor="!" w:history="1">
        <w:proofErr w:type="spellStart"/>
        <w:r w:rsidR="00645730" w:rsidRPr="00645730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"/>
          </w:rPr>
          <w:t>R.Saggar</w:t>
        </w:r>
        <w:proofErr w:type="spellEnd"/>
      </w:hyperlink>
      <w:bookmarkEnd w:id="0"/>
      <w:r w:rsidR="00645730" w:rsidRP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 xml:space="preserve"> et al.</w:t>
      </w:r>
      <w:r w:rsidR="00645730" w:rsidRPr="00645730">
        <w:rPr>
          <w:rFonts w:ascii="Arial" w:eastAsia="Times New Roman" w:hAnsi="Arial" w:cs="Arial"/>
          <w:color w:val="000000" w:themeColor="text1"/>
          <w:sz w:val="21"/>
          <w:szCs w:val="21"/>
          <w:lang w:val="en-US" w:eastAsia="es-ES"/>
        </w:rPr>
        <w:t xml:space="preserve"> </w:t>
      </w:r>
      <w:r w:rsidR="002B6B3C" w:rsidRPr="0064573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Lung transplantation </w:t>
      </w:r>
      <w:r w:rsidR="00645730" w:rsidRPr="00645730">
        <w:rPr>
          <w:rFonts w:ascii="Arial" w:hAnsi="Arial" w:cs="Arial"/>
          <w:color w:val="000000" w:themeColor="text1"/>
          <w:sz w:val="16"/>
          <w:szCs w:val="16"/>
          <w:lang w:val="en-US"/>
        </w:rPr>
        <w:t>for familial pulmonary fibrosis.</w:t>
      </w:r>
      <w:r w:rsidR="00645730" w:rsidRPr="00645730">
        <w:rPr>
          <w:rFonts w:ascii="Calibri" w:eastAsia="Calibri" w:hAnsi="Calibri"/>
          <w:sz w:val="22"/>
          <w:szCs w:val="22"/>
          <w:lang w:val="en-US"/>
        </w:rPr>
        <w:t xml:space="preserve"> </w:t>
      </w:r>
      <w:hyperlink r:id="rId13" w:tooltip="Go to The Journal of Heart and Lung Transplantation on ScienceDirect" w:history="1">
        <w:r w:rsidR="00645730" w:rsidRPr="00645730">
          <w:rPr>
            <w:rFonts w:ascii="Arial" w:eastAsia="Times New Roman" w:hAnsi="Arial" w:cs="Arial"/>
            <w:bCs/>
            <w:color w:val="000000" w:themeColor="text1"/>
            <w:sz w:val="16"/>
            <w:szCs w:val="16"/>
            <w:lang w:val="en-US" w:eastAsia="es-ES"/>
          </w:rPr>
          <w:t>The Journal of Heart and Lung Transplantation</w:t>
        </w:r>
      </w:hyperlink>
      <w:r w:rsidR="00645730" w:rsidRPr="00645730">
        <w:rPr>
          <w:rFonts w:ascii="Arial" w:hAnsi="Arial" w:cs="Arial"/>
          <w:bCs/>
          <w:color w:val="000000" w:themeColor="text1"/>
          <w:sz w:val="16"/>
          <w:szCs w:val="16"/>
          <w:lang w:val="en-US" w:eastAsia="es-ES"/>
        </w:rPr>
        <w:t xml:space="preserve">. </w:t>
      </w:r>
      <w:hyperlink r:id="rId14" w:tooltip="Go to table of contents for this volume/issue" w:history="1">
        <w:r w:rsidR="00645730" w:rsidRPr="00645730">
          <w:rPr>
            <w:rFonts w:ascii="Arial" w:eastAsia="Times New Roman" w:hAnsi="Arial" w:cs="Arial"/>
            <w:color w:val="000000" w:themeColor="text1"/>
            <w:sz w:val="16"/>
            <w:szCs w:val="16"/>
            <w:lang w:val="en-US" w:eastAsia="es-ES"/>
          </w:rPr>
          <w:t>Volume 38, Issue 4, Supplement</w:t>
        </w:r>
      </w:hyperlink>
      <w:r w:rsid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>, April 2019, S325-</w:t>
      </w:r>
      <w:r w:rsidR="00645730" w:rsidRP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>26</w:t>
      </w:r>
      <w:r w:rsidR="00645730">
        <w:rPr>
          <w:rFonts w:ascii="Arial" w:eastAsia="Times New Roman" w:hAnsi="Arial" w:cs="Arial"/>
          <w:color w:val="000000" w:themeColor="text1"/>
          <w:sz w:val="16"/>
          <w:szCs w:val="16"/>
          <w:lang w:val="en-US" w:eastAsia="es-ES"/>
        </w:rPr>
        <w:t>.</w:t>
      </w:r>
    </w:p>
    <w:p w:rsidR="00B963A6" w:rsidRPr="008B1681" w:rsidRDefault="00B963A6" w:rsidP="005E42A1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645730">
        <w:rPr>
          <w:rFonts w:ascii="Arial" w:hAnsi="Arial" w:cs="Arial"/>
          <w:sz w:val="16"/>
          <w:szCs w:val="16"/>
          <w:lang w:val="en-US"/>
        </w:rPr>
        <w:lastRenderedPageBreak/>
        <w:t>Silhan</w:t>
      </w:r>
      <w:proofErr w:type="spellEnd"/>
      <w:r w:rsidRPr="00645730">
        <w:rPr>
          <w:rFonts w:ascii="Arial" w:hAnsi="Arial" w:cs="Arial"/>
          <w:sz w:val="16"/>
          <w:szCs w:val="16"/>
          <w:lang w:val="en-US"/>
        </w:rPr>
        <w:t xml:space="preserve"> LL, Shah PD, Chambers DC, et al. Lung transplantation in telomerase mutation carriers with pulmonary fibrosis. </w:t>
      </w:r>
      <w:proofErr w:type="spellStart"/>
      <w:r w:rsidRPr="008B1681">
        <w:rPr>
          <w:rFonts w:ascii="Arial" w:hAnsi="Arial" w:cs="Arial"/>
          <w:sz w:val="16"/>
          <w:szCs w:val="16"/>
          <w:lang w:val="en-US"/>
        </w:rPr>
        <w:t>Eur</w:t>
      </w:r>
      <w:proofErr w:type="spellEnd"/>
      <w:r w:rsidRPr="008B168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B1681">
        <w:rPr>
          <w:rFonts w:ascii="Arial" w:hAnsi="Arial" w:cs="Arial"/>
          <w:sz w:val="16"/>
          <w:szCs w:val="16"/>
          <w:lang w:val="en-US"/>
        </w:rPr>
        <w:t>Respir</w:t>
      </w:r>
      <w:proofErr w:type="spellEnd"/>
      <w:r w:rsidRPr="008B1681">
        <w:rPr>
          <w:rFonts w:ascii="Arial" w:hAnsi="Arial" w:cs="Arial"/>
          <w:sz w:val="16"/>
          <w:szCs w:val="16"/>
          <w:lang w:val="en-US"/>
        </w:rPr>
        <w:t xml:space="preserve"> J. Jul 2014</w:t>
      </w:r>
      <w:proofErr w:type="gramStart"/>
      <w:r w:rsidRPr="008B1681">
        <w:rPr>
          <w:rFonts w:ascii="Arial" w:hAnsi="Arial" w:cs="Arial"/>
          <w:sz w:val="16"/>
          <w:szCs w:val="16"/>
          <w:lang w:val="en-US"/>
        </w:rPr>
        <w:t>;44</w:t>
      </w:r>
      <w:proofErr w:type="gramEnd"/>
      <w:r w:rsidRPr="008B1681">
        <w:rPr>
          <w:rFonts w:ascii="Arial" w:hAnsi="Arial" w:cs="Arial"/>
          <w:sz w:val="16"/>
          <w:szCs w:val="16"/>
          <w:lang w:val="en-US"/>
        </w:rPr>
        <w:t>(1):178-187.</w:t>
      </w: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es-ES"/>
        </w:rPr>
        <w:drawing>
          <wp:inline distT="0" distB="0" distL="0" distR="0">
            <wp:extent cx="4150426" cy="1923803"/>
            <wp:effectExtent l="0" t="0" r="2540" b="635"/>
            <wp:docPr id="1" name="Imagen 1" descr="C:\Users\Feli\AppData\Local\Microsoft\Windows\Temporary Internet Files\Content.Outlook\MSCM0TUR\mucocuta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mucocutane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26" cy="19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es-ES"/>
        </w:rPr>
        <w:drawing>
          <wp:inline distT="0" distB="0" distL="0" distR="0">
            <wp:extent cx="4168906" cy="2345376"/>
            <wp:effectExtent l="0" t="0" r="3175" b="0"/>
            <wp:docPr id="2" name="Imagen 2" descr="C:\Users\Feli\AppData\Local\Microsoft\Windows\Temporary Internet Files\Content.Outlook\MSCM0TUR\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figura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517" cy="23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bookmarkStart w:id="1" w:name="_GoBack"/>
      <w:bookmarkEnd w:id="1"/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es-ES"/>
        </w:rPr>
        <w:drawing>
          <wp:inline distT="0" distB="0" distL="0" distR="0">
            <wp:extent cx="4150426" cy="2334979"/>
            <wp:effectExtent l="0" t="0" r="2540" b="8255"/>
            <wp:docPr id="3" name="Imagen 3" descr="C:\Users\Feli\AppData\Local\Microsoft\Windows\Temporary Internet Files\Content.Outlook\MSCM0TUR\Fi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Figura 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26" cy="23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81" w:rsidRPr="008B1681" w:rsidRDefault="008B1681" w:rsidP="008B168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sectPr w:rsidR="008B1681" w:rsidRPr="008B1681" w:rsidSect="0005546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ED" w:rsidRDefault="00D16FED" w:rsidP="0005546A">
      <w:r>
        <w:separator/>
      </w:r>
    </w:p>
  </w:endnote>
  <w:endnote w:type="continuationSeparator" w:id="0">
    <w:p w:rsidR="00D16FED" w:rsidRDefault="00D16FED" w:rsidP="0005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ED" w:rsidRDefault="00D16FED" w:rsidP="0005546A">
      <w:r>
        <w:separator/>
      </w:r>
    </w:p>
  </w:footnote>
  <w:footnote w:type="continuationSeparator" w:id="0">
    <w:p w:rsidR="00D16FED" w:rsidRDefault="00D16FED" w:rsidP="0005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A9A"/>
    <w:multiLevelType w:val="hybridMultilevel"/>
    <w:tmpl w:val="83B8C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A7E"/>
    <w:multiLevelType w:val="multilevel"/>
    <w:tmpl w:val="4B2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4959"/>
    <w:multiLevelType w:val="hybridMultilevel"/>
    <w:tmpl w:val="83B8C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608C"/>
    <w:multiLevelType w:val="hybridMultilevel"/>
    <w:tmpl w:val="6EAC36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C6C"/>
    <w:multiLevelType w:val="hybridMultilevel"/>
    <w:tmpl w:val="83B8C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3588"/>
    <w:multiLevelType w:val="hybridMultilevel"/>
    <w:tmpl w:val="DDBAED96"/>
    <w:lvl w:ilvl="0" w:tplc="040A000F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5413"/>
    <w:multiLevelType w:val="hybridMultilevel"/>
    <w:tmpl w:val="83B8C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2B"/>
    <w:multiLevelType w:val="hybridMultilevel"/>
    <w:tmpl w:val="502C01BC"/>
    <w:lvl w:ilvl="0" w:tplc="91CA8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548E3"/>
    <w:multiLevelType w:val="hybridMultilevel"/>
    <w:tmpl w:val="0BC4BB1C"/>
    <w:lvl w:ilvl="0" w:tplc="2E2E253E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0874"/>
    <w:multiLevelType w:val="hybridMultilevel"/>
    <w:tmpl w:val="79B449D2"/>
    <w:lvl w:ilvl="0" w:tplc="0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31633"/>
    <w:multiLevelType w:val="hybridMultilevel"/>
    <w:tmpl w:val="502C01BC"/>
    <w:lvl w:ilvl="0" w:tplc="91CA8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57A2"/>
    <w:multiLevelType w:val="hybridMultilevel"/>
    <w:tmpl w:val="24D09440"/>
    <w:lvl w:ilvl="0" w:tplc="E304BF16">
      <w:start w:val="1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13427"/>
    <w:multiLevelType w:val="hybridMultilevel"/>
    <w:tmpl w:val="2422A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0"/>
    <w:rsid w:val="00011E63"/>
    <w:rsid w:val="000241D7"/>
    <w:rsid w:val="00025B89"/>
    <w:rsid w:val="000446E1"/>
    <w:rsid w:val="00055216"/>
    <w:rsid w:val="0005546A"/>
    <w:rsid w:val="00060FDA"/>
    <w:rsid w:val="00072329"/>
    <w:rsid w:val="00073806"/>
    <w:rsid w:val="00091F7E"/>
    <w:rsid w:val="000D28B0"/>
    <w:rsid w:val="000E6CBD"/>
    <w:rsid w:val="001043EC"/>
    <w:rsid w:val="00106CCE"/>
    <w:rsid w:val="001221C8"/>
    <w:rsid w:val="0013190D"/>
    <w:rsid w:val="001471F4"/>
    <w:rsid w:val="001623A0"/>
    <w:rsid w:val="0016376E"/>
    <w:rsid w:val="00166235"/>
    <w:rsid w:val="00174C78"/>
    <w:rsid w:val="00177D09"/>
    <w:rsid w:val="0019189B"/>
    <w:rsid w:val="001A0104"/>
    <w:rsid w:val="001A7B15"/>
    <w:rsid w:val="001D69F9"/>
    <w:rsid w:val="001E765E"/>
    <w:rsid w:val="00205FC8"/>
    <w:rsid w:val="00206EF2"/>
    <w:rsid w:val="0022492B"/>
    <w:rsid w:val="00225E63"/>
    <w:rsid w:val="00234E52"/>
    <w:rsid w:val="00241260"/>
    <w:rsid w:val="00242A3E"/>
    <w:rsid w:val="002505A9"/>
    <w:rsid w:val="00257E75"/>
    <w:rsid w:val="00261F9E"/>
    <w:rsid w:val="0027204D"/>
    <w:rsid w:val="00276482"/>
    <w:rsid w:val="002874FE"/>
    <w:rsid w:val="002B0947"/>
    <w:rsid w:val="002B6B3C"/>
    <w:rsid w:val="002C6AE6"/>
    <w:rsid w:val="002E3E98"/>
    <w:rsid w:val="002F0863"/>
    <w:rsid w:val="002F37B1"/>
    <w:rsid w:val="0030266F"/>
    <w:rsid w:val="00333087"/>
    <w:rsid w:val="00342BB1"/>
    <w:rsid w:val="003463BB"/>
    <w:rsid w:val="0036202B"/>
    <w:rsid w:val="003629CB"/>
    <w:rsid w:val="003671AE"/>
    <w:rsid w:val="003B730F"/>
    <w:rsid w:val="003C14AB"/>
    <w:rsid w:val="0040206A"/>
    <w:rsid w:val="00431560"/>
    <w:rsid w:val="004B26FB"/>
    <w:rsid w:val="004E19EE"/>
    <w:rsid w:val="005243B4"/>
    <w:rsid w:val="005320FB"/>
    <w:rsid w:val="005355F0"/>
    <w:rsid w:val="00555108"/>
    <w:rsid w:val="00586532"/>
    <w:rsid w:val="005A291C"/>
    <w:rsid w:val="005A2C50"/>
    <w:rsid w:val="005B29E5"/>
    <w:rsid w:val="005B6BCE"/>
    <w:rsid w:val="005E314E"/>
    <w:rsid w:val="005E31BF"/>
    <w:rsid w:val="005E42A1"/>
    <w:rsid w:val="00645730"/>
    <w:rsid w:val="00653214"/>
    <w:rsid w:val="00684EFD"/>
    <w:rsid w:val="00690290"/>
    <w:rsid w:val="00693F02"/>
    <w:rsid w:val="006A468D"/>
    <w:rsid w:val="006B0762"/>
    <w:rsid w:val="006B12FE"/>
    <w:rsid w:val="006C2A16"/>
    <w:rsid w:val="006D453A"/>
    <w:rsid w:val="006F4135"/>
    <w:rsid w:val="00701AE0"/>
    <w:rsid w:val="00707663"/>
    <w:rsid w:val="00712201"/>
    <w:rsid w:val="0071501D"/>
    <w:rsid w:val="00724AB9"/>
    <w:rsid w:val="00727A44"/>
    <w:rsid w:val="00743F5F"/>
    <w:rsid w:val="007744CC"/>
    <w:rsid w:val="00777E36"/>
    <w:rsid w:val="007845C4"/>
    <w:rsid w:val="007A25C9"/>
    <w:rsid w:val="007A3D4E"/>
    <w:rsid w:val="007B3B72"/>
    <w:rsid w:val="007C3E16"/>
    <w:rsid w:val="007E7810"/>
    <w:rsid w:val="00855661"/>
    <w:rsid w:val="00860939"/>
    <w:rsid w:val="00864745"/>
    <w:rsid w:val="00876478"/>
    <w:rsid w:val="008A105A"/>
    <w:rsid w:val="008A2695"/>
    <w:rsid w:val="008B1681"/>
    <w:rsid w:val="008F34BD"/>
    <w:rsid w:val="008F6ABD"/>
    <w:rsid w:val="0090202B"/>
    <w:rsid w:val="00902F89"/>
    <w:rsid w:val="009101D0"/>
    <w:rsid w:val="0091132D"/>
    <w:rsid w:val="00920779"/>
    <w:rsid w:val="00944CC3"/>
    <w:rsid w:val="00952BA6"/>
    <w:rsid w:val="00952EFC"/>
    <w:rsid w:val="0095592F"/>
    <w:rsid w:val="00963EB5"/>
    <w:rsid w:val="00964221"/>
    <w:rsid w:val="0098767D"/>
    <w:rsid w:val="00997EBF"/>
    <w:rsid w:val="009A7A25"/>
    <w:rsid w:val="009B2191"/>
    <w:rsid w:val="009B3BB3"/>
    <w:rsid w:val="009D2336"/>
    <w:rsid w:val="009D61BB"/>
    <w:rsid w:val="00A06D2E"/>
    <w:rsid w:val="00A3557F"/>
    <w:rsid w:val="00A45EE4"/>
    <w:rsid w:val="00A5387A"/>
    <w:rsid w:val="00A64481"/>
    <w:rsid w:val="00AA71E4"/>
    <w:rsid w:val="00AC5C58"/>
    <w:rsid w:val="00AD58B1"/>
    <w:rsid w:val="00AE4828"/>
    <w:rsid w:val="00AF342E"/>
    <w:rsid w:val="00B24F6D"/>
    <w:rsid w:val="00B421FE"/>
    <w:rsid w:val="00B665DF"/>
    <w:rsid w:val="00B70130"/>
    <w:rsid w:val="00B82279"/>
    <w:rsid w:val="00B963A6"/>
    <w:rsid w:val="00B96661"/>
    <w:rsid w:val="00BE1917"/>
    <w:rsid w:val="00C16D56"/>
    <w:rsid w:val="00C36BF5"/>
    <w:rsid w:val="00C4403B"/>
    <w:rsid w:val="00C66D55"/>
    <w:rsid w:val="00C7321A"/>
    <w:rsid w:val="00C84302"/>
    <w:rsid w:val="00C856D5"/>
    <w:rsid w:val="00CA1A6B"/>
    <w:rsid w:val="00CC4770"/>
    <w:rsid w:val="00CE61F2"/>
    <w:rsid w:val="00D16FED"/>
    <w:rsid w:val="00D41835"/>
    <w:rsid w:val="00D67565"/>
    <w:rsid w:val="00D7643F"/>
    <w:rsid w:val="00D91F08"/>
    <w:rsid w:val="00DA219C"/>
    <w:rsid w:val="00DA3697"/>
    <w:rsid w:val="00DE0400"/>
    <w:rsid w:val="00E076E2"/>
    <w:rsid w:val="00E16DA4"/>
    <w:rsid w:val="00E36D70"/>
    <w:rsid w:val="00E47AB3"/>
    <w:rsid w:val="00E7192D"/>
    <w:rsid w:val="00E7779B"/>
    <w:rsid w:val="00E94835"/>
    <w:rsid w:val="00EA0F86"/>
    <w:rsid w:val="00EB0C0F"/>
    <w:rsid w:val="00EF071C"/>
    <w:rsid w:val="00EF69F3"/>
    <w:rsid w:val="00F121CD"/>
    <w:rsid w:val="00F20786"/>
    <w:rsid w:val="00F22B02"/>
    <w:rsid w:val="00F36FD9"/>
    <w:rsid w:val="00F86ECC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1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BCE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0554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46A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554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46A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6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81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1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BCE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0554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46A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554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46A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6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81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odate.publicaciones.saludcastillayleon.es/contents/dyskeratosis-congenita-and-other-short-telomere-syndromes/abstract/60" TargetMode="External"/><Relationship Id="rId13" Type="http://schemas.openxmlformats.org/officeDocument/2006/relationships/hyperlink" Target="https://www.sciencedirect.com/science/journal/1053249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105324981930823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105324981930823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sciencedirect.com/science/article/pii/S105324981930823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ptodate.publicaciones.saludcastillayleon.es/contents/dyskeratosis-congenita-and-other-short-telomere-syndromes/abstract/57" TargetMode="External"/><Relationship Id="rId14" Type="http://schemas.openxmlformats.org/officeDocument/2006/relationships/hyperlink" Target="https://www.sciencedirect.com/science/journal/10532498/38/4/supp/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Guevara Velazquez</dc:creator>
  <cp:lastModifiedBy>SOCALPAR</cp:lastModifiedBy>
  <cp:revision>3</cp:revision>
  <dcterms:created xsi:type="dcterms:W3CDTF">2019-03-27T18:14:00Z</dcterms:created>
  <dcterms:modified xsi:type="dcterms:W3CDTF">2019-03-27T18:16:00Z</dcterms:modified>
</cp:coreProperties>
</file>